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Pr="00DF17F4" w:rsidRDefault="001C4631" w:rsidP="004371FD">
      <w:pPr>
        <w:spacing w:after="0" w:line="480" w:lineRule="auto"/>
        <w:jc w:val="center"/>
        <w:rPr>
          <w:b/>
        </w:rPr>
      </w:pPr>
      <w:r>
        <w:rPr>
          <w:b/>
        </w:rPr>
        <w:t>D</w:t>
      </w:r>
      <w:r w:rsidR="00534B65">
        <w:rPr>
          <w:b/>
        </w:rPr>
        <w:t>isaster Preparedness Tool Kit</w:t>
      </w:r>
    </w:p>
    <w:p w:rsidR="004721F4" w:rsidRDefault="004835BB" w:rsidP="004371FD">
      <w:pPr>
        <w:spacing w:after="0" w:line="480" w:lineRule="auto"/>
        <w:jc w:val="center"/>
      </w:pPr>
      <w:r>
        <w:t>Student</w:t>
      </w:r>
      <w:r w:rsidR="00CD4B04">
        <w:t>'</w:t>
      </w:r>
      <w:r>
        <w:t>s Name</w:t>
      </w:r>
    </w:p>
    <w:p w:rsidR="00DF17F4" w:rsidRDefault="004835BB" w:rsidP="004371FD">
      <w:pPr>
        <w:spacing w:after="0" w:line="480" w:lineRule="auto"/>
        <w:jc w:val="center"/>
      </w:pPr>
      <w:r>
        <w:t>Institution of Affiliation</w:t>
      </w:r>
    </w:p>
    <w:p w:rsidR="00DF17F4" w:rsidRDefault="004835BB" w:rsidP="004371FD">
      <w:pPr>
        <w:spacing w:after="0" w:line="480" w:lineRule="auto"/>
        <w:jc w:val="center"/>
      </w:pPr>
      <w:r>
        <w:t>Date</w:t>
      </w: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36486E" w:rsidRDefault="0036486E" w:rsidP="0036486E">
      <w:pPr>
        <w:spacing w:after="0" w:line="480" w:lineRule="auto"/>
        <w:rPr>
          <w:b/>
        </w:rPr>
      </w:pPr>
    </w:p>
    <w:p w:rsidR="00D67378" w:rsidRDefault="00534B65" w:rsidP="0036486E">
      <w:pPr>
        <w:spacing w:after="0" w:line="480" w:lineRule="auto"/>
        <w:jc w:val="center"/>
        <w:rPr>
          <w:b/>
        </w:rPr>
      </w:pPr>
      <w:r>
        <w:rPr>
          <w:b/>
        </w:rPr>
        <w:lastRenderedPageBreak/>
        <w:t>Disaster Preparedness Toolkit</w:t>
      </w:r>
    </w:p>
    <w:p w:rsidR="00531EF7" w:rsidRDefault="00531EF7" w:rsidP="00531EF7">
      <w:pPr>
        <w:spacing w:after="0" w:line="480" w:lineRule="auto"/>
        <w:rPr>
          <w:bCs/>
        </w:rPr>
      </w:pPr>
      <w:r w:rsidRPr="00367207">
        <w:rPr>
          <w:bCs/>
        </w:rPr>
        <w:tab/>
        <w:t xml:space="preserve">This tool kit </w:t>
      </w:r>
      <w:r w:rsidR="00367207">
        <w:rPr>
          <w:bCs/>
        </w:rPr>
        <w:t>is intended to be used by end</w:t>
      </w:r>
      <w:r w:rsidR="00CD4B04">
        <w:rPr>
          <w:bCs/>
        </w:rPr>
        <w:t>-of-</w:t>
      </w:r>
      <w:r w:rsidR="00367207">
        <w:rPr>
          <w:bCs/>
        </w:rPr>
        <w:t>life patient</w:t>
      </w:r>
      <w:r w:rsidR="00CD4B04">
        <w:rPr>
          <w:bCs/>
        </w:rPr>
        <w:t>'</w:t>
      </w:r>
      <w:r w:rsidR="00367207">
        <w:rPr>
          <w:bCs/>
        </w:rPr>
        <w:t xml:space="preserve">s caregivers, family members, nurses, social workers, and other healthcare providers prepared for patients for end-of-life. </w:t>
      </w:r>
      <w:r w:rsidR="00DC3FE9">
        <w:rPr>
          <w:bCs/>
        </w:rPr>
        <w:t>T</w:t>
      </w:r>
      <w:r w:rsidR="002A50CA">
        <w:rPr>
          <w:bCs/>
        </w:rPr>
        <w:t xml:space="preserve">he disaster preparedness tool kit provides </w:t>
      </w:r>
      <w:r w:rsidR="00431253">
        <w:rPr>
          <w:bCs/>
        </w:rPr>
        <w:t>step</w:t>
      </w:r>
      <w:r w:rsidR="00CD4B04">
        <w:rPr>
          <w:bCs/>
        </w:rPr>
        <w:t>-by-</w:t>
      </w:r>
      <w:r w:rsidR="00431253">
        <w:rPr>
          <w:bCs/>
        </w:rPr>
        <w:t>step directions to be taken in provi</w:t>
      </w:r>
      <w:r w:rsidR="00AB032A">
        <w:rPr>
          <w:bCs/>
        </w:rPr>
        <w:t>di</w:t>
      </w:r>
      <w:r w:rsidR="00431253">
        <w:rPr>
          <w:bCs/>
        </w:rPr>
        <w:t>ng end</w:t>
      </w:r>
      <w:r w:rsidR="00CD4B04">
        <w:rPr>
          <w:bCs/>
        </w:rPr>
        <w:t>-of-</w:t>
      </w:r>
      <w:r w:rsidR="00431253">
        <w:rPr>
          <w:bCs/>
        </w:rPr>
        <w:t>life care.</w:t>
      </w:r>
      <w:r w:rsidR="00DC6EEA">
        <w:rPr>
          <w:bCs/>
        </w:rPr>
        <w:t xml:space="preserve"> We all want life</w:t>
      </w:r>
      <w:r w:rsidR="00CD4B04">
        <w:rPr>
          <w:bCs/>
        </w:rPr>
        <w:t>;</w:t>
      </w:r>
      <w:r w:rsidR="00DC6EEA">
        <w:rPr>
          <w:bCs/>
        </w:rPr>
        <w:t xml:space="preserve"> however, </w:t>
      </w:r>
      <w:r w:rsidR="00F50A0B">
        <w:rPr>
          <w:bCs/>
        </w:rPr>
        <w:t>death is inevitable. End</w:t>
      </w:r>
      <w:r w:rsidR="00E96A14">
        <w:rPr>
          <w:bCs/>
        </w:rPr>
        <w:t>-</w:t>
      </w:r>
      <w:r w:rsidR="00F50A0B">
        <w:rPr>
          <w:bCs/>
        </w:rPr>
        <w:t>of</w:t>
      </w:r>
      <w:r w:rsidR="00E96A14">
        <w:rPr>
          <w:bCs/>
        </w:rPr>
        <w:t>-</w:t>
      </w:r>
      <w:r w:rsidR="00F50A0B">
        <w:rPr>
          <w:bCs/>
        </w:rPr>
        <w:t>life can occur due to the normal ag</w:t>
      </w:r>
      <w:r w:rsidR="00CD4B04">
        <w:rPr>
          <w:bCs/>
        </w:rPr>
        <w:t>e</w:t>
      </w:r>
      <w:r w:rsidR="00F50A0B">
        <w:rPr>
          <w:bCs/>
        </w:rPr>
        <w:t xml:space="preserve">ing process, terminal illnesses or life events such </w:t>
      </w:r>
      <w:r w:rsidR="00E96A14">
        <w:rPr>
          <w:bCs/>
        </w:rPr>
        <w:t>as accidents. The presumption in care is to prolong life</w:t>
      </w:r>
      <w:r w:rsidR="00CD4B04">
        <w:rPr>
          <w:bCs/>
        </w:rPr>
        <w:t>;</w:t>
      </w:r>
      <w:r w:rsidR="00E96A14">
        <w:rPr>
          <w:bCs/>
        </w:rPr>
        <w:t xml:space="preserve"> however, it is critical to acknowledge that sometimes this cannot be achieved</w:t>
      </w:r>
      <w:r w:rsidR="00CD4B04">
        <w:rPr>
          <w:bCs/>
        </w:rPr>
        <w:t>,</w:t>
      </w:r>
      <w:r w:rsidR="00E96A14">
        <w:rPr>
          <w:bCs/>
        </w:rPr>
        <w:t xml:space="preserve"> therefore prioritizing reducing pain and quality of life. </w:t>
      </w:r>
      <w:r w:rsidR="00500E96">
        <w:rPr>
          <w:bCs/>
        </w:rPr>
        <w:t>Provision of end of life care can be challenging</w:t>
      </w:r>
      <w:r w:rsidR="00CD4B04">
        <w:rPr>
          <w:bCs/>
        </w:rPr>
        <w:t>,</w:t>
      </w:r>
      <w:r w:rsidR="00AF4B7A">
        <w:rPr>
          <w:bCs/>
        </w:rPr>
        <w:t xml:space="preserve">especially in an ambiguous, complex, uncertain and volatile healthcare environment. </w:t>
      </w:r>
      <w:r w:rsidR="00BC58E3">
        <w:rPr>
          <w:bCs/>
        </w:rPr>
        <w:t>It is critical that end-of-life patients are provided with empathetic care and in a calm environment to ensure that positive outcomes are achieved.</w:t>
      </w:r>
    </w:p>
    <w:p w:rsidR="003E6B3D" w:rsidRPr="003E6B3D" w:rsidRDefault="003E6B3D" w:rsidP="003E6B3D">
      <w:pPr>
        <w:spacing w:after="0" w:line="480" w:lineRule="auto"/>
        <w:jc w:val="center"/>
        <w:rPr>
          <w:b/>
        </w:rPr>
      </w:pPr>
      <w:r w:rsidRPr="003E6B3D">
        <w:rPr>
          <w:b/>
        </w:rPr>
        <w:t>Elements of a Disaster Preparedness Toolkit</w:t>
      </w:r>
    </w:p>
    <w:p w:rsidR="00FB31A4" w:rsidRDefault="00FB31A4" w:rsidP="00531EF7">
      <w:pPr>
        <w:spacing w:after="0" w:line="480" w:lineRule="auto"/>
        <w:rPr>
          <w:bCs/>
        </w:rPr>
      </w:pPr>
      <w:r>
        <w:rPr>
          <w:bCs/>
        </w:rPr>
        <w:tab/>
        <w:t>Disaster preparedness entails taking preparation measures to minimize the impacts of disasters. It entails predicting and mitigating the impact on people and responding effectively to cope with the consequences of th</w:t>
      </w:r>
      <w:r w:rsidR="00CD4B04">
        <w:rPr>
          <w:bCs/>
        </w:rPr>
        <w:t>ese</w:t>
      </w:r>
      <w:r>
        <w:rPr>
          <w:bCs/>
        </w:rPr>
        <w:t xml:space="preserve"> disasters. </w:t>
      </w:r>
      <w:r w:rsidR="004627E6">
        <w:rPr>
          <w:bCs/>
        </w:rPr>
        <w:t>Disaster preparedness ensures that appropriate procedures, resources and system</w:t>
      </w:r>
      <w:r w:rsidR="00CD4B04">
        <w:rPr>
          <w:bCs/>
        </w:rPr>
        <w:t>s</w:t>
      </w:r>
      <w:r w:rsidR="004627E6">
        <w:rPr>
          <w:bCs/>
        </w:rPr>
        <w:t xml:space="preserve"> are put in place to help those affected by </w:t>
      </w:r>
      <w:r w:rsidR="00CD4B04">
        <w:rPr>
          <w:bCs/>
        </w:rPr>
        <w:t xml:space="preserve">a </w:t>
      </w:r>
      <w:r w:rsidR="004627E6">
        <w:rPr>
          <w:bCs/>
        </w:rPr>
        <w:t xml:space="preserve">disaster. </w:t>
      </w:r>
      <w:r w:rsidR="00FF20A4">
        <w:rPr>
          <w:bCs/>
        </w:rPr>
        <w:t xml:space="preserve">The key elements of disaster preparedness are communication, guidelines and protocols. </w:t>
      </w:r>
    </w:p>
    <w:p w:rsidR="00FF20A4" w:rsidRPr="008B4018" w:rsidRDefault="001C1269" w:rsidP="008B4018">
      <w:pPr>
        <w:spacing w:after="0" w:line="480" w:lineRule="auto"/>
        <w:jc w:val="center"/>
        <w:rPr>
          <w:b/>
        </w:rPr>
      </w:pPr>
      <w:r w:rsidRPr="008B4018">
        <w:rPr>
          <w:b/>
        </w:rPr>
        <w:t>Care Coordination Needs of End-of-life Patients</w:t>
      </w:r>
    </w:p>
    <w:p w:rsidR="00D03EE5" w:rsidRDefault="00D03EE5" w:rsidP="00531EF7">
      <w:pPr>
        <w:spacing w:after="0" w:line="480" w:lineRule="auto"/>
        <w:rPr>
          <w:bCs/>
        </w:rPr>
      </w:pPr>
      <w:r>
        <w:rPr>
          <w:bCs/>
        </w:rPr>
        <w:tab/>
      </w:r>
      <w:r w:rsidR="002B7EB8">
        <w:rPr>
          <w:bCs/>
        </w:rPr>
        <w:t xml:space="preserve">Death is a </w:t>
      </w:r>
      <w:r w:rsidR="00CA7341">
        <w:rPr>
          <w:bCs/>
        </w:rPr>
        <w:t>one-time</w:t>
      </w:r>
      <w:r w:rsidR="002B7EB8">
        <w:rPr>
          <w:bCs/>
        </w:rPr>
        <w:t xml:space="preserve"> event</w:t>
      </w:r>
      <w:r w:rsidR="00CD4B04">
        <w:rPr>
          <w:bCs/>
        </w:rPr>
        <w:t>;</w:t>
      </w:r>
      <w:r w:rsidR="002B7EB8">
        <w:rPr>
          <w:bCs/>
        </w:rPr>
        <w:t xml:space="preserve"> it is</w:t>
      </w:r>
      <w:r w:rsidR="00CD4B04">
        <w:rPr>
          <w:bCs/>
        </w:rPr>
        <w:t>, therefore,</w:t>
      </w:r>
      <w:r w:rsidR="002B7EB8">
        <w:rPr>
          <w:bCs/>
        </w:rPr>
        <w:t xml:space="preserve"> crucial that caregivers, family and healthcare providers get it right. They have a crucial role </w:t>
      </w:r>
      <w:r w:rsidR="00CD4B04">
        <w:rPr>
          <w:bCs/>
        </w:rPr>
        <w:t>in ensuring</w:t>
      </w:r>
      <w:r w:rsidR="002B7EB8">
        <w:rPr>
          <w:bCs/>
        </w:rPr>
        <w:t xml:space="preserve"> that end-of-life patients receive both physical and emotional comfort as they </w:t>
      </w:r>
      <w:r w:rsidR="00CA7341">
        <w:rPr>
          <w:bCs/>
        </w:rPr>
        <w:t>near their death</w:t>
      </w:r>
      <w:r w:rsidR="009C304C">
        <w:rPr>
          <w:bCs/>
        </w:rPr>
        <w:t xml:space="preserve"> (</w:t>
      </w:r>
      <w:r w:rsidR="005852E3" w:rsidRPr="005852E3">
        <w:t>Barndt, 2018</w:t>
      </w:r>
      <w:r w:rsidR="009C304C">
        <w:t>)</w:t>
      </w:r>
      <w:r w:rsidR="00CA7341">
        <w:rPr>
          <w:bCs/>
        </w:rPr>
        <w:t xml:space="preserve">. </w:t>
      </w:r>
      <w:r w:rsidR="002E429B">
        <w:rPr>
          <w:bCs/>
        </w:rPr>
        <w:t>End-of-life care is more than just provision relieving pain and management of symptoms</w:t>
      </w:r>
      <w:r w:rsidR="001C1269">
        <w:rPr>
          <w:bCs/>
        </w:rPr>
        <w:t xml:space="preserve">. </w:t>
      </w:r>
      <w:r w:rsidR="002E429B">
        <w:rPr>
          <w:bCs/>
        </w:rPr>
        <w:t xml:space="preserve">It considers and integrates </w:t>
      </w:r>
      <w:r w:rsidR="002B0127">
        <w:rPr>
          <w:bCs/>
        </w:rPr>
        <w:t>essential facet</w:t>
      </w:r>
      <w:r w:rsidR="00CD4B04">
        <w:rPr>
          <w:bCs/>
        </w:rPr>
        <w:t>s</w:t>
      </w:r>
      <w:r w:rsidR="002B0127">
        <w:rPr>
          <w:bCs/>
        </w:rPr>
        <w:t xml:space="preserve"> of care which include patient wishes, communication skills, symptom </w:t>
      </w:r>
      <w:r w:rsidR="002B0127">
        <w:rPr>
          <w:bCs/>
        </w:rPr>
        <w:lastRenderedPageBreak/>
        <w:t xml:space="preserve">management, continuing care, spiritual care, emotional care, legal responsibilities, post-bereavement care for the remaining family and friends. </w:t>
      </w:r>
      <w:r w:rsidR="00AB054D">
        <w:rPr>
          <w:bCs/>
        </w:rPr>
        <w:t xml:space="preserve">This allows for </w:t>
      </w:r>
      <w:r w:rsidR="00CD4B04">
        <w:rPr>
          <w:bCs/>
        </w:rPr>
        <w:t xml:space="preserve">the </w:t>
      </w:r>
      <w:r w:rsidR="00AB054D">
        <w:rPr>
          <w:bCs/>
        </w:rPr>
        <w:t>provision of holistic end-of-life care</w:t>
      </w:r>
      <w:r w:rsidR="00CD4B04">
        <w:rPr>
          <w:bCs/>
        </w:rPr>
        <w:t>, therefore,</w:t>
      </w:r>
      <w:r w:rsidR="00AB054D">
        <w:rPr>
          <w:bCs/>
        </w:rPr>
        <w:t xml:space="preserve"> ensuring that an individualized patient-centred plan is achieved.</w:t>
      </w:r>
    </w:p>
    <w:p w:rsidR="007B69F0" w:rsidRPr="007B69F0" w:rsidRDefault="007B69F0" w:rsidP="007B69F0">
      <w:pPr>
        <w:spacing w:after="0" w:line="480" w:lineRule="auto"/>
        <w:jc w:val="center"/>
        <w:rPr>
          <w:b/>
        </w:rPr>
      </w:pPr>
      <w:r w:rsidRPr="007B69F0">
        <w:rPr>
          <w:b/>
        </w:rPr>
        <w:t>Personnel and Material Resources Needed to Provide the Necessary Coordinated Care</w:t>
      </w:r>
    </w:p>
    <w:p w:rsidR="007B69F0" w:rsidRDefault="007B69F0" w:rsidP="00531EF7">
      <w:pPr>
        <w:spacing w:after="0" w:line="480" w:lineRule="auto"/>
        <w:rPr>
          <w:bCs/>
        </w:rPr>
      </w:pPr>
      <w:r>
        <w:rPr>
          <w:bCs/>
        </w:rPr>
        <w:tab/>
      </w:r>
      <w:r w:rsidR="00984FD6">
        <w:rPr>
          <w:bCs/>
        </w:rPr>
        <w:t>Difference social and health care personnel are involved in end</w:t>
      </w:r>
      <w:r w:rsidR="00CD4B04">
        <w:rPr>
          <w:bCs/>
        </w:rPr>
        <w:t>-of-</w:t>
      </w:r>
      <w:r w:rsidR="00984FD6">
        <w:rPr>
          <w:bCs/>
        </w:rPr>
        <w:t>li</w:t>
      </w:r>
      <w:r w:rsidR="00CD4B04">
        <w:rPr>
          <w:bCs/>
        </w:rPr>
        <w:t>f</w:t>
      </w:r>
      <w:r w:rsidR="00984FD6">
        <w:rPr>
          <w:bCs/>
        </w:rPr>
        <w:t xml:space="preserve">e care. </w:t>
      </w:r>
      <w:r w:rsidR="00CD4B04">
        <w:rPr>
          <w:bCs/>
        </w:rPr>
        <w:t>T</w:t>
      </w:r>
      <w:r w:rsidR="00984FD6">
        <w:rPr>
          <w:bCs/>
        </w:rPr>
        <w:t>hey include hospital nurses and doctors, hospice staff, counse</w:t>
      </w:r>
      <w:r w:rsidR="00CD4B04">
        <w:rPr>
          <w:bCs/>
        </w:rPr>
        <w:t>l</w:t>
      </w:r>
      <w:r w:rsidR="00984FD6">
        <w:rPr>
          <w:bCs/>
        </w:rPr>
        <w:t>lors, community nurses, chaplains, occupational therapists, physiotherapists</w:t>
      </w:r>
      <w:r w:rsidR="00121E51">
        <w:rPr>
          <w:bCs/>
        </w:rPr>
        <w:t xml:space="preserve">, </w:t>
      </w:r>
      <w:r w:rsidR="00984FD6">
        <w:rPr>
          <w:bCs/>
        </w:rPr>
        <w:t>caregivers</w:t>
      </w:r>
      <w:r w:rsidR="00121E51">
        <w:rPr>
          <w:bCs/>
        </w:rPr>
        <w:t xml:space="preserve"> and general practitioners. </w:t>
      </w:r>
      <w:r w:rsidR="006870BC">
        <w:rPr>
          <w:bCs/>
        </w:rPr>
        <w:t>Material resources required in an emergency of end</w:t>
      </w:r>
      <w:r w:rsidR="00CD4B04">
        <w:rPr>
          <w:bCs/>
        </w:rPr>
        <w:t>-of-</w:t>
      </w:r>
      <w:r w:rsidR="006870BC">
        <w:rPr>
          <w:bCs/>
        </w:rPr>
        <w:t xml:space="preserve">life care include critical care equipment, healthcare facilities, </w:t>
      </w:r>
      <w:r w:rsidR="00C639C6">
        <w:rPr>
          <w:bCs/>
        </w:rPr>
        <w:t xml:space="preserve">medications, </w:t>
      </w:r>
      <w:r w:rsidR="00893C07">
        <w:rPr>
          <w:bCs/>
        </w:rPr>
        <w:t>and advanced directives</w:t>
      </w:r>
      <w:r w:rsidR="00305DAB">
        <w:rPr>
          <w:bCs/>
        </w:rPr>
        <w:t xml:space="preserve"> (</w:t>
      </w:r>
      <w:r w:rsidR="005852E3" w:rsidRPr="005852E3">
        <w:rPr>
          <w:szCs w:val="24"/>
        </w:rPr>
        <w:t>Yadav</w:t>
      </w:r>
      <w:r w:rsidR="00305DAB">
        <w:rPr>
          <w:szCs w:val="24"/>
        </w:rPr>
        <w:t xml:space="preserve"> et al., 2017)</w:t>
      </w:r>
      <w:r w:rsidR="00893C07">
        <w:rPr>
          <w:bCs/>
        </w:rPr>
        <w:t xml:space="preserve">. </w:t>
      </w:r>
    </w:p>
    <w:p w:rsidR="000741D6" w:rsidRPr="00CE2168" w:rsidRDefault="000741D6" w:rsidP="00CE2168">
      <w:pPr>
        <w:spacing w:after="0" w:line="480" w:lineRule="auto"/>
        <w:jc w:val="center"/>
        <w:rPr>
          <w:b/>
        </w:rPr>
      </w:pPr>
      <w:r w:rsidRPr="00CE2168">
        <w:rPr>
          <w:b/>
        </w:rPr>
        <w:t>Standards and Best Practice Methods for Safeguarding Provision of Culturally-Competent and Ethical Care</w:t>
      </w:r>
    </w:p>
    <w:p w:rsidR="000741D6" w:rsidRDefault="00CE2168" w:rsidP="00531EF7">
      <w:pPr>
        <w:spacing w:after="0" w:line="480" w:lineRule="auto"/>
        <w:rPr>
          <w:bCs/>
        </w:rPr>
      </w:pPr>
      <w:r>
        <w:rPr>
          <w:bCs/>
        </w:rPr>
        <w:tab/>
      </w:r>
      <w:r w:rsidR="0035518B">
        <w:rPr>
          <w:bCs/>
        </w:rPr>
        <w:t>End-of-life care enhances the quality of life of end</w:t>
      </w:r>
      <w:r w:rsidR="00CD4B04">
        <w:rPr>
          <w:bCs/>
        </w:rPr>
        <w:t>-of-</w:t>
      </w:r>
      <w:r w:rsidR="0035518B">
        <w:rPr>
          <w:bCs/>
        </w:rPr>
        <w:t>life patients and their families</w:t>
      </w:r>
      <w:r w:rsidR="00A87FAC">
        <w:rPr>
          <w:bCs/>
        </w:rPr>
        <w:t xml:space="preserve"> (</w:t>
      </w:r>
      <w:r w:rsidR="00A87FAC" w:rsidRPr="00917E49">
        <w:rPr>
          <w:color w:val="222222"/>
          <w:szCs w:val="24"/>
          <w:shd w:val="clear" w:color="auto" w:fill="FFFFFF"/>
        </w:rPr>
        <w:t>Pivodic</w:t>
      </w:r>
      <w:r w:rsidR="00A87FAC">
        <w:rPr>
          <w:color w:val="222222"/>
          <w:szCs w:val="24"/>
          <w:shd w:val="clear" w:color="auto" w:fill="FFFFFF"/>
        </w:rPr>
        <w:t xml:space="preserve"> et al., 2018)</w:t>
      </w:r>
      <w:r w:rsidR="0035518B">
        <w:rPr>
          <w:bCs/>
        </w:rPr>
        <w:t xml:space="preserve">. While </w:t>
      </w:r>
      <w:r w:rsidR="00CD4B04">
        <w:rPr>
          <w:bCs/>
        </w:rPr>
        <w:t xml:space="preserve">the </w:t>
      </w:r>
      <w:r w:rsidR="0035518B">
        <w:rPr>
          <w:bCs/>
        </w:rPr>
        <w:t>end of life does not prolong life, it relie</w:t>
      </w:r>
      <w:r w:rsidR="00CD4B04">
        <w:rPr>
          <w:bCs/>
        </w:rPr>
        <w:t>ve</w:t>
      </w:r>
      <w:r w:rsidR="0035518B">
        <w:rPr>
          <w:bCs/>
        </w:rPr>
        <w:t xml:space="preserve">s suffering and provides patients with comfort as they near their death. </w:t>
      </w:r>
      <w:r w:rsidR="00724075">
        <w:rPr>
          <w:bCs/>
        </w:rPr>
        <w:t>The best practices that ensure patients receive cultural</w:t>
      </w:r>
      <w:r w:rsidR="00CD4B04">
        <w:rPr>
          <w:bCs/>
        </w:rPr>
        <w:t>ly</w:t>
      </w:r>
      <w:r w:rsidR="00724075">
        <w:rPr>
          <w:bCs/>
        </w:rPr>
        <w:t xml:space="preserve"> competent, ethical, safe</w:t>
      </w:r>
      <w:r w:rsidR="00CD4B04">
        <w:rPr>
          <w:bCs/>
        </w:rPr>
        <w:t>,</w:t>
      </w:r>
      <w:r w:rsidR="00724075">
        <w:rPr>
          <w:bCs/>
        </w:rPr>
        <w:t xml:space="preserve"> and quality care include </w:t>
      </w:r>
      <w:r w:rsidR="00457156">
        <w:rPr>
          <w:bCs/>
        </w:rPr>
        <w:t>involving patients in decision making, discussi</w:t>
      </w:r>
      <w:r w:rsidR="00CD4B04">
        <w:rPr>
          <w:bCs/>
        </w:rPr>
        <w:t>ng</w:t>
      </w:r>
      <w:r w:rsidR="00457156">
        <w:rPr>
          <w:bCs/>
        </w:rPr>
        <w:t xml:space="preserve"> advanced directives, </w:t>
      </w:r>
      <w:r w:rsidR="000B6444">
        <w:rPr>
          <w:bCs/>
        </w:rPr>
        <w:t>providing end</w:t>
      </w:r>
      <w:r w:rsidR="00CD4B04">
        <w:rPr>
          <w:bCs/>
        </w:rPr>
        <w:t>-of-</w:t>
      </w:r>
      <w:r w:rsidR="000B6444">
        <w:rPr>
          <w:bCs/>
        </w:rPr>
        <w:t>life patients and their family members with adequate information and integrating end</w:t>
      </w:r>
      <w:r w:rsidR="00CD4B04">
        <w:rPr>
          <w:bCs/>
        </w:rPr>
        <w:t>-of-</w:t>
      </w:r>
      <w:r w:rsidR="000B6444">
        <w:rPr>
          <w:bCs/>
        </w:rPr>
        <w:t xml:space="preserve">life care into </w:t>
      </w:r>
      <w:r w:rsidR="00CD4B04">
        <w:rPr>
          <w:bCs/>
        </w:rPr>
        <w:t xml:space="preserve">the </w:t>
      </w:r>
      <w:r w:rsidR="000B6444">
        <w:rPr>
          <w:bCs/>
        </w:rPr>
        <w:t>standard of care treatment approaches</w:t>
      </w:r>
      <w:r w:rsidR="009A7311">
        <w:rPr>
          <w:bCs/>
        </w:rPr>
        <w:t xml:space="preserve"> (</w:t>
      </w:r>
      <w:r w:rsidR="005852E3" w:rsidRPr="005852E3">
        <w:rPr>
          <w:szCs w:val="24"/>
        </w:rPr>
        <w:t>Yadav</w:t>
      </w:r>
      <w:r w:rsidR="009A7311">
        <w:rPr>
          <w:szCs w:val="24"/>
        </w:rPr>
        <w:t xml:space="preserve"> et al., 2017)</w:t>
      </w:r>
      <w:r w:rsidR="000B6444">
        <w:rPr>
          <w:bCs/>
        </w:rPr>
        <w:t xml:space="preserve">. </w:t>
      </w:r>
    </w:p>
    <w:p w:rsidR="00AA76DA" w:rsidRPr="00AA76DA" w:rsidRDefault="00AA76DA" w:rsidP="00212994">
      <w:pPr>
        <w:spacing w:after="0" w:line="480" w:lineRule="auto"/>
        <w:jc w:val="center"/>
        <w:rPr>
          <w:b/>
        </w:rPr>
      </w:pPr>
      <w:r w:rsidRPr="00AA76DA">
        <w:rPr>
          <w:b/>
        </w:rPr>
        <w:t>Regulatory Requirements Governing Disaster Relief</w:t>
      </w:r>
    </w:p>
    <w:p w:rsidR="00AA76DA" w:rsidRDefault="00AA76DA" w:rsidP="00531EF7">
      <w:pPr>
        <w:spacing w:after="0" w:line="480" w:lineRule="auto"/>
        <w:rPr>
          <w:bCs/>
        </w:rPr>
      </w:pPr>
      <w:r>
        <w:rPr>
          <w:bCs/>
        </w:rPr>
        <w:tab/>
      </w:r>
      <w:r w:rsidR="00A04D96">
        <w:rPr>
          <w:bCs/>
        </w:rPr>
        <w:t>End</w:t>
      </w:r>
      <w:r w:rsidR="00CD4B04">
        <w:rPr>
          <w:bCs/>
        </w:rPr>
        <w:t>-of-</w:t>
      </w:r>
      <w:r w:rsidR="00A04D96">
        <w:rPr>
          <w:bCs/>
        </w:rPr>
        <w:t>life care addresses the patients</w:t>
      </w:r>
      <w:r w:rsidR="00CD4B04">
        <w:rPr>
          <w:bCs/>
        </w:rPr>
        <w:t>'</w:t>
      </w:r>
      <w:r w:rsidR="00A04D96">
        <w:rPr>
          <w:bCs/>
        </w:rPr>
        <w:t xml:space="preserve"> daily care as well as physical, emotional and spiritual needs.</w:t>
      </w:r>
      <w:r w:rsidR="009A6BE0">
        <w:rPr>
          <w:bCs/>
        </w:rPr>
        <w:t xml:space="preserve"> Regulatory requirements at all levels require that patients be actively involved in their end</w:t>
      </w:r>
      <w:r w:rsidR="00CD4B04">
        <w:rPr>
          <w:bCs/>
        </w:rPr>
        <w:t>-of-</w:t>
      </w:r>
      <w:r w:rsidR="009A6BE0">
        <w:rPr>
          <w:bCs/>
        </w:rPr>
        <w:t>life decisions</w:t>
      </w:r>
      <w:r w:rsidR="00734B5C">
        <w:rPr>
          <w:bCs/>
        </w:rPr>
        <w:t xml:space="preserve"> for those who can make these decisions. It is important that end</w:t>
      </w:r>
      <w:r w:rsidR="00CD4B04">
        <w:rPr>
          <w:bCs/>
        </w:rPr>
        <w:t>-of-</w:t>
      </w:r>
      <w:r w:rsidR="00734B5C">
        <w:rPr>
          <w:bCs/>
        </w:rPr>
        <w:t xml:space="preserve">life patients have advanced directives that </w:t>
      </w:r>
      <w:r w:rsidR="00E23EB4">
        <w:rPr>
          <w:bCs/>
        </w:rPr>
        <w:t>such as a living will or healthcare power of attorney</w:t>
      </w:r>
      <w:r w:rsidR="00CD4B04">
        <w:rPr>
          <w:bCs/>
        </w:rPr>
        <w:t>,</w:t>
      </w:r>
      <w:r w:rsidR="00E23EB4">
        <w:rPr>
          <w:bCs/>
        </w:rPr>
        <w:t xml:space="preserve"> that </w:t>
      </w:r>
      <w:r w:rsidR="00EF278B">
        <w:rPr>
          <w:bCs/>
        </w:rPr>
        <w:lastRenderedPageBreak/>
        <w:t>designate</w:t>
      </w:r>
      <w:r w:rsidR="00E23EB4">
        <w:rPr>
          <w:bCs/>
        </w:rPr>
        <w:t xml:space="preserve"> powers to a person who can make </w:t>
      </w:r>
      <w:r w:rsidR="00CD4B04">
        <w:rPr>
          <w:bCs/>
        </w:rPr>
        <w:t xml:space="preserve">a </w:t>
      </w:r>
      <w:r w:rsidR="00E23EB4">
        <w:rPr>
          <w:bCs/>
        </w:rPr>
        <w:t>decision for end</w:t>
      </w:r>
      <w:r w:rsidR="00CD4B04">
        <w:rPr>
          <w:bCs/>
        </w:rPr>
        <w:t>-of-</w:t>
      </w:r>
      <w:r w:rsidR="00E23EB4">
        <w:rPr>
          <w:bCs/>
        </w:rPr>
        <w:t xml:space="preserve">life patients when they are unable to make them. </w:t>
      </w:r>
    </w:p>
    <w:p w:rsidR="00774AF4" w:rsidRPr="00774AF4" w:rsidRDefault="00774AF4" w:rsidP="00212994">
      <w:pPr>
        <w:spacing w:after="0" w:line="480" w:lineRule="auto"/>
        <w:jc w:val="center"/>
        <w:rPr>
          <w:b/>
        </w:rPr>
      </w:pPr>
      <w:r w:rsidRPr="00774AF4">
        <w:rPr>
          <w:b/>
        </w:rPr>
        <w:t>Importance of Interagency and Interprofessional Relationships</w:t>
      </w:r>
    </w:p>
    <w:p w:rsidR="00774AF4" w:rsidRDefault="00774AF4" w:rsidP="00531EF7">
      <w:pPr>
        <w:spacing w:after="0" w:line="480" w:lineRule="auto"/>
        <w:rPr>
          <w:bCs/>
        </w:rPr>
      </w:pPr>
      <w:r>
        <w:rPr>
          <w:bCs/>
        </w:rPr>
        <w:tab/>
      </w:r>
      <w:r w:rsidR="006C5488">
        <w:rPr>
          <w:bCs/>
        </w:rPr>
        <w:t>End</w:t>
      </w:r>
      <w:r w:rsidR="00CD4B04">
        <w:rPr>
          <w:bCs/>
        </w:rPr>
        <w:t>-of-</w:t>
      </w:r>
      <w:r w:rsidR="006C5488">
        <w:rPr>
          <w:bCs/>
        </w:rPr>
        <w:t xml:space="preserve">life care involves various healthcare providers and specialists. It is critical that these professionals collaborate to provide competent and quality care. </w:t>
      </w:r>
      <w:r w:rsidR="0067362E">
        <w:rPr>
          <w:bCs/>
        </w:rPr>
        <w:t xml:space="preserve">Interagency and interprofessional collaboration reduce or eliminate interagency </w:t>
      </w:r>
      <w:r w:rsidR="00B62B0E">
        <w:rPr>
          <w:bCs/>
        </w:rPr>
        <w:t>duplication of services</w:t>
      </w:r>
      <w:r w:rsidR="00CD4B04">
        <w:rPr>
          <w:bCs/>
        </w:rPr>
        <w:t>, therefore,</w:t>
      </w:r>
      <w:r w:rsidR="00B62B0E">
        <w:rPr>
          <w:bCs/>
        </w:rPr>
        <w:t xml:space="preserve"> allowing for efficient use of resources. Additionally, it allows for appropriate and efficient sharing of information between healthcare agencies and professionals caring for the patients. </w:t>
      </w:r>
    </w:p>
    <w:p w:rsidR="00C01412" w:rsidRPr="00C01412" w:rsidRDefault="00C01412" w:rsidP="00C01412">
      <w:pPr>
        <w:spacing w:after="0" w:line="480" w:lineRule="auto"/>
        <w:jc w:val="center"/>
        <w:rPr>
          <w:b/>
        </w:rPr>
      </w:pPr>
      <w:r w:rsidRPr="00C01412">
        <w:rPr>
          <w:b/>
        </w:rPr>
        <w:t>Guidelines on How to Employ the Policy in Practice</w:t>
      </w:r>
    </w:p>
    <w:p w:rsidR="0039536B" w:rsidRDefault="0039536B" w:rsidP="00531EF7">
      <w:pPr>
        <w:spacing w:after="0" w:line="480" w:lineRule="auto"/>
        <w:rPr>
          <w:bCs/>
        </w:rPr>
      </w:pPr>
      <w:r>
        <w:rPr>
          <w:bCs/>
        </w:rPr>
        <w:tab/>
      </w:r>
      <w:r w:rsidR="00026BCD">
        <w:rPr>
          <w:bCs/>
        </w:rPr>
        <w:t>No one wants to die, but it is a fate that all of us will have to meet</w:t>
      </w:r>
      <w:r w:rsidR="00CD4B04">
        <w:rPr>
          <w:bCs/>
        </w:rPr>
        <w:t>;</w:t>
      </w:r>
      <w:r w:rsidR="00026BCD">
        <w:rPr>
          <w:bCs/>
        </w:rPr>
        <w:t xml:space="preserve"> therefore, preparation is an important part of our lives. Preparation won</w:t>
      </w:r>
      <w:r w:rsidR="00CD4B04">
        <w:rPr>
          <w:bCs/>
        </w:rPr>
        <w:t>'</w:t>
      </w:r>
      <w:r w:rsidR="00026BCD">
        <w:rPr>
          <w:bCs/>
        </w:rPr>
        <w:t>t make the pain of death go away for the patient</w:t>
      </w:r>
      <w:r w:rsidR="00CD4B04">
        <w:rPr>
          <w:bCs/>
        </w:rPr>
        <w:t>'</w:t>
      </w:r>
      <w:r w:rsidR="00026BCD">
        <w:rPr>
          <w:bCs/>
        </w:rPr>
        <w:t>s loved ones</w:t>
      </w:r>
      <w:r w:rsidR="00CD4B04">
        <w:rPr>
          <w:bCs/>
        </w:rPr>
        <w:t>. I</w:t>
      </w:r>
      <w:r w:rsidR="00026BCD">
        <w:rPr>
          <w:bCs/>
        </w:rPr>
        <w:t>t will</w:t>
      </w:r>
      <w:r w:rsidR="00CD4B04">
        <w:rPr>
          <w:bCs/>
        </w:rPr>
        <w:t>,</w:t>
      </w:r>
      <w:r w:rsidR="00026BCD">
        <w:rPr>
          <w:bCs/>
        </w:rPr>
        <w:t xml:space="preserve"> however, make </w:t>
      </w:r>
      <w:r w:rsidR="00CD4B04">
        <w:rPr>
          <w:bCs/>
        </w:rPr>
        <w:t xml:space="preserve">it </w:t>
      </w:r>
      <w:r w:rsidR="00026BCD">
        <w:rPr>
          <w:bCs/>
        </w:rPr>
        <w:t xml:space="preserve">a little more bearable. </w:t>
      </w:r>
      <w:r>
        <w:rPr>
          <w:bCs/>
        </w:rPr>
        <w:t>The disaster preparedness toolkit involves the following steps;</w:t>
      </w:r>
    </w:p>
    <w:p w:rsidR="0039536B" w:rsidRPr="00C01412" w:rsidRDefault="0039536B" w:rsidP="00C01412">
      <w:pPr>
        <w:pStyle w:val="ListParagraph"/>
        <w:numPr>
          <w:ilvl w:val="0"/>
          <w:numId w:val="2"/>
        </w:numPr>
        <w:spacing w:after="0" w:line="480" w:lineRule="auto"/>
        <w:rPr>
          <w:bCs/>
        </w:rPr>
      </w:pPr>
      <w:r w:rsidRPr="00C01412">
        <w:rPr>
          <w:bCs/>
        </w:rPr>
        <w:t>Recognition and management planning</w:t>
      </w:r>
    </w:p>
    <w:p w:rsidR="0039536B" w:rsidRDefault="0039536B" w:rsidP="00531EF7">
      <w:pPr>
        <w:spacing w:after="0" w:line="480" w:lineRule="auto"/>
        <w:rPr>
          <w:bCs/>
        </w:rPr>
      </w:pPr>
      <w:r>
        <w:rPr>
          <w:bCs/>
        </w:rPr>
        <w:tab/>
      </w:r>
      <w:r w:rsidR="00640843">
        <w:rPr>
          <w:bCs/>
        </w:rPr>
        <w:t xml:space="preserve">Help with the acknowledgment of the end-of-life patient and development of individualized patient-centred management plan. </w:t>
      </w:r>
      <w:r w:rsidR="00C91D76">
        <w:rPr>
          <w:bCs/>
        </w:rPr>
        <w:t>This step</w:t>
      </w:r>
      <w:r w:rsidR="00543FCD">
        <w:rPr>
          <w:bCs/>
        </w:rPr>
        <w:t xml:space="preserve"> involves processes such as initiation of </w:t>
      </w:r>
      <w:r w:rsidR="00CD4B04">
        <w:rPr>
          <w:bCs/>
        </w:rPr>
        <w:t xml:space="preserve">an </w:t>
      </w:r>
      <w:r w:rsidR="00543FCD">
        <w:rPr>
          <w:bCs/>
        </w:rPr>
        <w:t>end</w:t>
      </w:r>
      <w:r w:rsidR="00CD4B04">
        <w:rPr>
          <w:bCs/>
        </w:rPr>
        <w:t>-of-</w:t>
      </w:r>
      <w:r w:rsidR="00543FCD">
        <w:rPr>
          <w:bCs/>
        </w:rPr>
        <w:t xml:space="preserve">life </w:t>
      </w:r>
      <w:r w:rsidR="00C44D75">
        <w:rPr>
          <w:bCs/>
        </w:rPr>
        <w:t>management</w:t>
      </w:r>
      <w:r w:rsidR="00543FCD">
        <w:rPr>
          <w:bCs/>
        </w:rPr>
        <w:t xml:space="preserve"> plan, </w:t>
      </w:r>
      <w:r w:rsidR="00C44D75">
        <w:rPr>
          <w:bCs/>
        </w:rPr>
        <w:t xml:space="preserve">observing patient physical and emotional comfort to ensure that the patient receives </w:t>
      </w:r>
      <w:r w:rsidR="00814427">
        <w:rPr>
          <w:bCs/>
        </w:rPr>
        <w:t xml:space="preserve">appropriate care that he or she needs. </w:t>
      </w:r>
    </w:p>
    <w:p w:rsidR="00640756" w:rsidRPr="00C01412" w:rsidRDefault="00640756" w:rsidP="00C01412">
      <w:pPr>
        <w:pStyle w:val="ListParagraph"/>
        <w:numPr>
          <w:ilvl w:val="0"/>
          <w:numId w:val="2"/>
        </w:numPr>
        <w:spacing w:after="0" w:line="480" w:lineRule="auto"/>
        <w:rPr>
          <w:bCs/>
        </w:rPr>
      </w:pPr>
      <w:r w:rsidRPr="00C01412">
        <w:rPr>
          <w:bCs/>
        </w:rPr>
        <w:t>Medication Management</w:t>
      </w:r>
    </w:p>
    <w:p w:rsidR="00640756" w:rsidRDefault="00640756" w:rsidP="00531EF7">
      <w:pPr>
        <w:spacing w:after="0" w:line="480" w:lineRule="auto"/>
        <w:rPr>
          <w:bCs/>
        </w:rPr>
      </w:pPr>
      <w:r>
        <w:rPr>
          <w:bCs/>
        </w:rPr>
        <w:tab/>
      </w:r>
      <w:r w:rsidR="00EF31DB">
        <w:rPr>
          <w:bCs/>
        </w:rPr>
        <w:t>End-of-life patients often have complex health</w:t>
      </w:r>
      <w:r w:rsidR="00CD4B04">
        <w:rPr>
          <w:bCs/>
        </w:rPr>
        <w:t>;</w:t>
      </w:r>
      <w:r w:rsidR="00EF31DB">
        <w:rPr>
          <w:bCs/>
        </w:rPr>
        <w:t xml:space="preserve"> therefore</w:t>
      </w:r>
      <w:r w:rsidR="00CD4B04">
        <w:rPr>
          <w:bCs/>
        </w:rPr>
        <w:t>,</w:t>
      </w:r>
      <w:r w:rsidR="00EF31DB">
        <w:rPr>
          <w:bCs/>
        </w:rPr>
        <w:t xml:space="preserve"> it is critical to manag</w:t>
      </w:r>
      <w:r w:rsidR="00CD4B04">
        <w:rPr>
          <w:bCs/>
        </w:rPr>
        <w:t>ing</w:t>
      </w:r>
      <w:r w:rsidR="00EF31DB">
        <w:rPr>
          <w:bCs/>
        </w:rPr>
        <w:t xml:space="preserve"> their treatment and medication effectively. </w:t>
      </w:r>
      <w:r w:rsidR="00876CB6">
        <w:rPr>
          <w:bCs/>
        </w:rPr>
        <w:t xml:space="preserve">Medication management will be done with strict adherence to the standardized prescribing guidelines. </w:t>
      </w:r>
      <w:r w:rsidR="00A5436E">
        <w:rPr>
          <w:bCs/>
        </w:rPr>
        <w:t xml:space="preserve">Prescribing terminology and the national medication chart will be adequately considered. </w:t>
      </w:r>
      <w:r w:rsidR="00D82160">
        <w:rPr>
          <w:bCs/>
        </w:rPr>
        <w:t xml:space="preserve">It is critical that the prescribing guidelines are referred to </w:t>
      </w:r>
      <w:r w:rsidR="00D82160">
        <w:rPr>
          <w:bCs/>
        </w:rPr>
        <w:lastRenderedPageBreak/>
        <w:t xml:space="preserve">when making prescriptions to avoid </w:t>
      </w:r>
      <w:r w:rsidR="00920E50">
        <w:rPr>
          <w:bCs/>
        </w:rPr>
        <w:t xml:space="preserve">making errors. At this stem, a symptom assessment will be done, prompting non-pharmacological measures, review patient symptoms after </w:t>
      </w:r>
      <w:r w:rsidR="00CD4B04">
        <w:rPr>
          <w:bCs/>
        </w:rPr>
        <w:t xml:space="preserve">the </w:t>
      </w:r>
      <w:r w:rsidR="00920E50">
        <w:rPr>
          <w:bCs/>
        </w:rPr>
        <w:t xml:space="preserve">intervention, assessment and regular review of symptom control. </w:t>
      </w:r>
    </w:p>
    <w:p w:rsidR="00217915" w:rsidRPr="00C01412" w:rsidRDefault="00217915" w:rsidP="00C01412">
      <w:pPr>
        <w:pStyle w:val="ListParagraph"/>
        <w:numPr>
          <w:ilvl w:val="0"/>
          <w:numId w:val="2"/>
        </w:numPr>
        <w:spacing w:after="0" w:line="480" w:lineRule="auto"/>
        <w:rPr>
          <w:bCs/>
        </w:rPr>
      </w:pPr>
      <w:r w:rsidRPr="00C01412">
        <w:rPr>
          <w:bCs/>
        </w:rPr>
        <w:t>Speed up transfer to die at home plan</w:t>
      </w:r>
    </w:p>
    <w:p w:rsidR="00217915" w:rsidRDefault="00217915" w:rsidP="00531EF7">
      <w:pPr>
        <w:spacing w:after="0" w:line="480" w:lineRule="auto"/>
        <w:rPr>
          <w:bCs/>
        </w:rPr>
      </w:pPr>
      <w:r>
        <w:rPr>
          <w:bCs/>
        </w:rPr>
        <w:tab/>
      </w:r>
      <w:r w:rsidR="001467E7">
        <w:rPr>
          <w:bCs/>
        </w:rPr>
        <w:t xml:space="preserve">The purpose of this process is to facilitate a safe and smooth transition from </w:t>
      </w:r>
      <w:r w:rsidR="00CD4B04">
        <w:rPr>
          <w:bCs/>
        </w:rPr>
        <w:t xml:space="preserve">a </w:t>
      </w:r>
      <w:r w:rsidR="001467E7">
        <w:rPr>
          <w:bCs/>
        </w:rPr>
        <w:t xml:space="preserve">hospital setting to </w:t>
      </w:r>
      <w:r w:rsidR="00CD4B04">
        <w:rPr>
          <w:bCs/>
        </w:rPr>
        <w:t xml:space="preserve">a </w:t>
      </w:r>
      <w:r w:rsidR="001467E7">
        <w:rPr>
          <w:bCs/>
        </w:rPr>
        <w:t>home or community where patient</w:t>
      </w:r>
      <w:r w:rsidR="00CD4B04">
        <w:rPr>
          <w:bCs/>
        </w:rPr>
        <w:t>s</w:t>
      </w:r>
      <w:r w:rsidR="001467E7">
        <w:rPr>
          <w:bCs/>
        </w:rPr>
        <w:t xml:space="preserve"> are supported to die peacefully at home. </w:t>
      </w:r>
      <w:r w:rsidR="00744ADC">
        <w:rPr>
          <w:bCs/>
        </w:rPr>
        <w:t xml:space="preserve">Healthcare providers ought to consider where </w:t>
      </w:r>
      <w:r w:rsidR="00CD4B04">
        <w:rPr>
          <w:bCs/>
        </w:rPr>
        <w:t xml:space="preserve">a </w:t>
      </w:r>
      <w:r w:rsidR="00744ADC">
        <w:rPr>
          <w:bCs/>
        </w:rPr>
        <w:t xml:space="preserve">patient can be safely and comfortably cared for at home, whether </w:t>
      </w:r>
      <w:r w:rsidR="00CD4B04">
        <w:rPr>
          <w:bCs/>
        </w:rPr>
        <w:t xml:space="preserve">it </w:t>
      </w:r>
      <w:r w:rsidR="00744ADC">
        <w:rPr>
          <w:bCs/>
        </w:rPr>
        <w:t xml:space="preserve">is a </w:t>
      </w:r>
      <w:r w:rsidR="00C91D76">
        <w:rPr>
          <w:bCs/>
        </w:rPr>
        <w:t>backup</w:t>
      </w:r>
      <w:r w:rsidR="00744ADC">
        <w:rPr>
          <w:bCs/>
        </w:rPr>
        <w:t xml:space="preserve"> plan if the patient and his or her family find it challenging to cope at home</w:t>
      </w:r>
      <w:r w:rsidR="00B35FA6">
        <w:rPr>
          <w:bCs/>
        </w:rPr>
        <w:t xml:space="preserve"> (</w:t>
      </w:r>
      <w:r w:rsidR="005852E3" w:rsidRPr="005852E3">
        <w:rPr>
          <w:szCs w:val="24"/>
        </w:rPr>
        <w:t>Ersek</w:t>
      </w:r>
      <w:r w:rsidR="00B35FA6">
        <w:rPr>
          <w:szCs w:val="24"/>
        </w:rPr>
        <w:t xml:space="preserve"> et al., 2021)</w:t>
      </w:r>
      <w:r w:rsidR="00744ADC">
        <w:rPr>
          <w:bCs/>
        </w:rPr>
        <w:t xml:space="preserve">. </w:t>
      </w:r>
    </w:p>
    <w:p w:rsidR="001D7FB0" w:rsidRPr="00C01412" w:rsidRDefault="001D7FB0" w:rsidP="00C01412">
      <w:pPr>
        <w:pStyle w:val="ListParagraph"/>
        <w:numPr>
          <w:ilvl w:val="0"/>
          <w:numId w:val="2"/>
        </w:numPr>
        <w:spacing w:after="0" w:line="480" w:lineRule="auto"/>
        <w:rPr>
          <w:bCs/>
        </w:rPr>
      </w:pPr>
      <w:r w:rsidRPr="00C01412">
        <w:rPr>
          <w:bCs/>
        </w:rPr>
        <w:t>Communication</w:t>
      </w:r>
    </w:p>
    <w:p w:rsidR="001D7FB0" w:rsidRDefault="001D7FB0" w:rsidP="00531EF7">
      <w:pPr>
        <w:spacing w:after="0" w:line="480" w:lineRule="auto"/>
        <w:rPr>
          <w:bCs/>
        </w:rPr>
      </w:pPr>
      <w:r>
        <w:rPr>
          <w:bCs/>
        </w:rPr>
        <w:tab/>
        <w:t xml:space="preserve">Communication is critical </w:t>
      </w:r>
      <w:r w:rsidR="00CD4B04">
        <w:rPr>
          <w:bCs/>
        </w:rPr>
        <w:t>at</w:t>
      </w:r>
      <w:r>
        <w:rPr>
          <w:bCs/>
        </w:rPr>
        <w:t xml:space="preserve"> end of life care. </w:t>
      </w:r>
      <w:r w:rsidR="00D13628">
        <w:rPr>
          <w:bCs/>
        </w:rPr>
        <w:t>H</w:t>
      </w:r>
      <w:r>
        <w:rPr>
          <w:bCs/>
        </w:rPr>
        <w:t>ealthcare providers ought to provide accurate information to the patient and their family on time</w:t>
      </w:r>
      <w:r w:rsidR="00D13628">
        <w:rPr>
          <w:bCs/>
        </w:rPr>
        <w:t xml:space="preserve"> (</w:t>
      </w:r>
      <w:r w:rsidR="00D13628" w:rsidRPr="000E53A8">
        <w:rPr>
          <w:color w:val="222222"/>
          <w:szCs w:val="24"/>
          <w:shd w:val="clear" w:color="auto" w:fill="FFFFFF"/>
        </w:rPr>
        <w:t>Brooks, Manias&amp; Nicholson, 2017</w:t>
      </w:r>
      <w:r w:rsidR="00D13628">
        <w:rPr>
          <w:color w:val="222222"/>
          <w:szCs w:val="24"/>
          <w:shd w:val="clear" w:color="auto" w:fill="FFFFFF"/>
        </w:rPr>
        <w:t>)</w:t>
      </w:r>
      <w:r>
        <w:rPr>
          <w:bCs/>
        </w:rPr>
        <w:t xml:space="preserve">. </w:t>
      </w:r>
    </w:p>
    <w:p w:rsidR="003050E3" w:rsidRDefault="003050E3" w:rsidP="00E05189">
      <w:pPr>
        <w:spacing w:after="0" w:line="480" w:lineRule="auto"/>
        <w:jc w:val="center"/>
        <w:rPr>
          <w:b/>
        </w:rPr>
      </w:pPr>
      <w:r w:rsidRPr="00E05189">
        <w:rPr>
          <w:b/>
        </w:rPr>
        <w:t>Recommendations for Identifying and Working with Stakeholder to Achieve Buy-in and Support for the Plan</w:t>
      </w:r>
    </w:p>
    <w:p w:rsidR="00E05189" w:rsidRDefault="00E05189" w:rsidP="00E05189">
      <w:pPr>
        <w:spacing w:after="0" w:line="480" w:lineRule="auto"/>
        <w:rPr>
          <w:bCs/>
        </w:rPr>
      </w:pPr>
      <w:r w:rsidRPr="002D0B6D">
        <w:rPr>
          <w:bCs/>
        </w:rPr>
        <w:tab/>
      </w:r>
      <w:r w:rsidR="004417E2" w:rsidRPr="002D0B6D">
        <w:rPr>
          <w:bCs/>
        </w:rPr>
        <w:t>Human being</w:t>
      </w:r>
      <w:r w:rsidR="00CD4B04">
        <w:rPr>
          <w:bCs/>
        </w:rPr>
        <w:t>s</w:t>
      </w:r>
      <w:r w:rsidR="004417E2" w:rsidRPr="002D0B6D">
        <w:rPr>
          <w:bCs/>
        </w:rPr>
        <w:t xml:space="preserve"> like to stay or do things the same way where they are comfortable.</w:t>
      </w:r>
      <w:r w:rsidR="002D0B6D">
        <w:rPr>
          <w:bCs/>
        </w:rPr>
        <w:t xml:space="preserve"> We are naturally wired to resist change</w:t>
      </w:r>
      <w:r w:rsidR="00CD4B04">
        <w:rPr>
          <w:bCs/>
        </w:rPr>
        <w:t>,</w:t>
      </w:r>
      <w:r w:rsidR="002D0B6D">
        <w:rPr>
          <w:bCs/>
        </w:rPr>
        <w:t xml:space="preserve"> especially when it affects our comfort. </w:t>
      </w:r>
      <w:r w:rsidR="008071C9">
        <w:rPr>
          <w:bCs/>
        </w:rPr>
        <w:t xml:space="preserve">Gaining the trust and corporation of stakeholders is important for </w:t>
      </w:r>
      <w:r w:rsidR="000E18A0">
        <w:rPr>
          <w:bCs/>
        </w:rPr>
        <w:t>a plan</w:t>
      </w:r>
      <w:r w:rsidR="00CD4B04">
        <w:rPr>
          <w:bCs/>
        </w:rPr>
        <w:t>'</w:t>
      </w:r>
      <w:r w:rsidR="000E18A0">
        <w:rPr>
          <w:bCs/>
        </w:rPr>
        <w:t xml:space="preserve">s success. </w:t>
      </w:r>
      <w:r w:rsidR="009C260A">
        <w:rPr>
          <w:bCs/>
        </w:rPr>
        <w:t xml:space="preserve">The following </w:t>
      </w:r>
      <w:r w:rsidR="002F6B19">
        <w:rPr>
          <w:bCs/>
        </w:rPr>
        <w:t>recommendations</w:t>
      </w:r>
      <w:r w:rsidR="009C260A">
        <w:rPr>
          <w:bCs/>
        </w:rPr>
        <w:t xml:space="preserve"> will be critical to identifying and working </w:t>
      </w:r>
      <w:r w:rsidR="00CD4B04">
        <w:rPr>
          <w:bCs/>
        </w:rPr>
        <w:t>with</w:t>
      </w:r>
      <w:r w:rsidR="009C260A">
        <w:rPr>
          <w:bCs/>
        </w:rPr>
        <w:t xml:space="preserve"> stakeholdersin achieving a buying and support for the disaster preparedness plan. </w:t>
      </w:r>
    </w:p>
    <w:p w:rsidR="00075DE2" w:rsidRPr="00C01412" w:rsidRDefault="00075DE2" w:rsidP="00C01412">
      <w:pPr>
        <w:pStyle w:val="ListParagraph"/>
        <w:numPr>
          <w:ilvl w:val="0"/>
          <w:numId w:val="1"/>
        </w:numPr>
        <w:spacing w:after="0" w:line="480" w:lineRule="auto"/>
        <w:rPr>
          <w:bCs/>
        </w:rPr>
      </w:pPr>
      <w:r w:rsidRPr="00C01412">
        <w:rPr>
          <w:bCs/>
        </w:rPr>
        <w:t>Identification of what motivates stakeholders.</w:t>
      </w:r>
    </w:p>
    <w:p w:rsidR="00075DE2" w:rsidRDefault="00D2353A" w:rsidP="00E05189">
      <w:pPr>
        <w:spacing w:after="0" w:line="480" w:lineRule="auto"/>
        <w:rPr>
          <w:bCs/>
        </w:rPr>
      </w:pPr>
      <w:r>
        <w:rPr>
          <w:bCs/>
        </w:rPr>
        <w:t>Various stakeholders are motivated by different things</w:t>
      </w:r>
      <w:r w:rsidR="005E0CD5">
        <w:rPr>
          <w:bCs/>
        </w:rPr>
        <w:t>;</w:t>
      </w:r>
      <w:r>
        <w:rPr>
          <w:bCs/>
        </w:rPr>
        <w:t xml:space="preserve"> u</w:t>
      </w:r>
      <w:r w:rsidR="000A4239">
        <w:rPr>
          <w:bCs/>
        </w:rPr>
        <w:t xml:space="preserve">nderstanding what motivates each individual stakeholder will make it much easier to achieve buy-in. </w:t>
      </w:r>
    </w:p>
    <w:p w:rsidR="00274F18" w:rsidRPr="00C01412" w:rsidRDefault="00274F18" w:rsidP="00C01412">
      <w:pPr>
        <w:pStyle w:val="ListParagraph"/>
        <w:numPr>
          <w:ilvl w:val="0"/>
          <w:numId w:val="1"/>
        </w:numPr>
        <w:spacing w:after="0" w:line="480" w:lineRule="auto"/>
        <w:rPr>
          <w:bCs/>
        </w:rPr>
      </w:pPr>
      <w:r w:rsidRPr="00C01412">
        <w:rPr>
          <w:bCs/>
        </w:rPr>
        <w:t>Build a culture of trust</w:t>
      </w:r>
    </w:p>
    <w:p w:rsidR="00274F18" w:rsidRDefault="00274F18" w:rsidP="00E05189">
      <w:pPr>
        <w:spacing w:after="0" w:line="480" w:lineRule="auto"/>
        <w:rPr>
          <w:bCs/>
        </w:rPr>
      </w:pPr>
      <w:r>
        <w:rPr>
          <w:bCs/>
        </w:rPr>
        <w:lastRenderedPageBreak/>
        <w:tab/>
        <w:t>Gaining trust i</w:t>
      </w:r>
      <w:r w:rsidR="005E0CD5">
        <w:rPr>
          <w:bCs/>
        </w:rPr>
        <w:t>s</w:t>
      </w:r>
      <w:r>
        <w:rPr>
          <w:bCs/>
        </w:rPr>
        <w:t xml:space="preserve"> important to be able to influence stakeholders to buy into the plan. Environmental factors such as lack of trust, negative culture and low morale may make the stakeholders disconnect with the </w:t>
      </w:r>
      <w:r w:rsidR="00F718AE">
        <w:rPr>
          <w:bCs/>
        </w:rPr>
        <w:t>project or care coordinator</w:t>
      </w:r>
      <w:r w:rsidR="005E0CD5">
        <w:rPr>
          <w:bCs/>
        </w:rPr>
        <w:t>,</w:t>
      </w:r>
      <w:r w:rsidR="00F718AE">
        <w:rPr>
          <w:bCs/>
        </w:rPr>
        <w:t xml:space="preserve"> which may lead to </w:t>
      </w:r>
      <w:r w:rsidR="005E0CD5">
        <w:rPr>
          <w:bCs/>
        </w:rPr>
        <w:t xml:space="preserve">a </w:t>
      </w:r>
      <w:r w:rsidR="00F718AE">
        <w:rPr>
          <w:bCs/>
        </w:rPr>
        <w:t>lack of support for the plan.</w:t>
      </w:r>
    </w:p>
    <w:p w:rsidR="00F718AE" w:rsidRPr="00C01412" w:rsidRDefault="0016264D" w:rsidP="00C01412">
      <w:pPr>
        <w:pStyle w:val="ListParagraph"/>
        <w:numPr>
          <w:ilvl w:val="0"/>
          <w:numId w:val="1"/>
        </w:numPr>
        <w:spacing w:after="0" w:line="480" w:lineRule="auto"/>
        <w:rPr>
          <w:bCs/>
        </w:rPr>
      </w:pPr>
      <w:r w:rsidRPr="00C01412">
        <w:rPr>
          <w:bCs/>
        </w:rPr>
        <w:t>Ensure stakeholders understand their contribution to the plan</w:t>
      </w:r>
    </w:p>
    <w:p w:rsidR="0016264D" w:rsidRDefault="0016264D" w:rsidP="00E05189">
      <w:pPr>
        <w:spacing w:after="0" w:line="480" w:lineRule="auto"/>
        <w:rPr>
          <w:bCs/>
        </w:rPr>
      </w:pPr>
      <w:r>
        <w:rPr>
          <w:bCs/>
        </w:rPr>
        <w:tab/>
        <w:t xml:space="preserve">Determining how the plan benefits stakeholders and allowing them to share their ideas and concerns is also critical to achieving buying and their support. Stakeholders are more likely to buy-in if they understand their contribution. </w:t>
      </w:r>
    </w:p>
    <w:p w:rsidR="00B07F27" w:rsidRPr="00C01412" w:rsidRDefault="00B07F27" w:rsidP="00C01412">
      <w:pPr>
        <w:pStyle w:val="ListParagraph"/>
        <w:numPr>
          <w:ilvl w:val="0"/>
          <w:numId w:val="1"/>
        </w:numPr>
        <w:spacing w:after="0" w:line="480" w:lineRule="auto"/>
        <w:rPr>
          <w:bCs/>
        </w:rPr>
      </w:pPr>
      <w:r w:rsidRPr="00C01412">
        <w:rPr>
          <w:bCs/>
        </w:rPr>
        <w:t>Stating the plan</w:t>
      </w:r>
      <w:r w:rsidR="00CD4B04">
        <w:rPr>
          <w:bCs/>
        </w:rPr>
        <w:t>'</w:t>
      </w:r>
      <w:r w:rsidRPr="00C01412">
        <w:rPr>
          <w:bCs/>
        </w:rPr>
        <w:t xml:space="preserve">s goals and communicating implementation progress. </w:t>
      </w:r>
    </w:p>
    <w:p w:rsidR="00B07F27" w:rsidRPr="002D0B6D" w:rsidRDefault="00B07F27" w:rsidP="00E05189">
      <w:pPr>
        <w:spacing w:after="0" w:line="480" w:lineRule="auto"/>
        <w:rPr>
          <w:bCs/>
        </w:rPr>
      </w:pPr>
      <w:r>
        <w:rPr>
          <w:bCs/>
        </w:rPr>
        <w:tab/>
        <w:t>While it is critical to establish linkage with stakeholders and setting goals at the start of the project</w:t>
      </w:r>
      <w:r w:rsidR="005E0CD5">
        <w:rPr>
          <w:bCs/>
        </w:rPr>
        <w:t>, i</w:t>
      </w:r>
      <w:r>
        <w:rPr>
          <w:bCs/>
        </w:rPr>
        <w:t>t is not enough</w:t>
      </w:r>
      <w:r w:rsidR="005E0CD5">
        <w:rPr>
          <w:bCs/>
        </w:rPr>
        <w:t>;</w:t>
      </w:r>
      <w:r>
        <w:rPr>
          <w:bCs/>
        </w:rPr>
        <w:t xml:space="preserve"> reaffirming the goals during implementation and updating stakeholders to the project progress is critical. </w:t>
      </w:r>
    </w:p>
    <w:p w:rsidR="00367207" w:rsidRPr="00DF1475" w:rsidRDefault="00DF1475" w:rsidP="00DF1475">
      <w:pPr>
        <w:spacing w:after="0" w:line="480" w:lineRule="auto"/>
        <w:jc w:val="center"/>
        <w:rPr>
          <w:b/>
        </w:rPr>
      </w:pPr>
      <w:r w:rsidRPr="00DF1475">
        <w:rPr>
          <w:b/>
        </w:rPr>
        <w:t>Disaster Preparedness Toolkit Summary</w:t>
      </w:r>
    </w:p>
    <w:p w:rsidR="00A871AB" w:rsidRPr="00BA07DF" w:rsidRDefault="00BA07DF" w:rsidP="00DF1475">
      <w:pPr>
        <w:spacing w:line="480" w:lineRule="auto"/>
        <w:ind w:firstLine="720"/>
        <w:rPr>
          <w:b/>
        </w:rPr>
      </w:pPr>
      <w:r w:rsidRPr="00BA07DF">
        <w:rPr>
          <w:bCs/>
        </w:rPr>
        <w:t xml:space="preserve">The disaster preparedness toolkit </w:t>
      </w:r>
      <w:r>
        <w:rPr>
          <w:bCs/>
        </w:rPr>
        <w:t>offers step</w:t>
      </w:r>
      <w:r w:rsidR="005E0CD5">
        <w:rPr>
          <w:bCs/>
        </w:rPr>
        <w:t>-by-</w:t>
      </w:r>
      <w:r>
        <w:rPr>
          <w:bCs/>
        </w:rPr>
        <w:t>step direction</w:t>
      </w:r>
      <w:r w:rsidR="00CC019D">
        <w:rPr>
          <w:bCs/>
        </w:rPr>
        <w:t>s and useful resources for providing end-of-life with safer, resilient, efficient and effective end</w:t>
      </w:r>
      <w:r w:rsidR="005E0CD5">
        <w:rPr>
          <w:bCs/>
        </w:rPr>
        <w:t>-of-</w:t>
      </w:r>
      <w:r w:rsidR="00CC019D">
        <w:rPr>
          <w:bCs/>
        </w:rPr>
        <w:t>life care.</w:t>
      </w:r>
      <w:r w:rsidR="00A871AB">
        <w:rPr>
          <w:bCs/>
        </w:rPr>
        <w:t>End</w:t>
      </w:r>
      <w:r w:rsidR="005E0CD5">
        <w:rPr>
          <w:bCs/>
        </w:rPr>
        <w:t>-of-</w:t>
      </w:r>
      <w:r w:rsidR="00A871AB">
        <w:rPr>
          <w:bCs/>
        </w:rPr>
        <w:t xml:space="preserve">life care often presents caregivers, family members and healthcare providers with urgent situations that require immediate decisions. </w:t>
      </w:r>
      <w:r w:rsidR="00AB62DD">
        <w:rPr>
          <w:bCs/>
        </w:rPr>
        <w:t xml:space="preserve">In addition to efficient, effective and quick </w:t>
      </w:r>
      <w:r w:rsidR="00A83E31">
        <w:rPr>
          <w:bCs/>
        </w:rPr>
        <w:t>decision-making</w:t>
      </w:r>
      <w:r w:rsidR="00AB62DD">
        <w:rPr>
          <w:bCs/>
        </w:rPr>
        <w:t xml:space="preserve"> approaches, an appropriate disaster preparedness plan is critical to responding to </w:t>
      </w:r>
      <w:r w:rsidR="007B0704">
        <w:rPr>
          <w:bCs/>
        </w:rPr>
        <w:t xml:space="preserve">patient needs and care. </w:t>
      </w:r>
      <w:r w:rsidR="0024023A">
        <w:rPr>
          <w:bCs/>
        </w:rPr>
        <w:t>A disaster preparedness plan is also important to the development of a clear process of making decisions regarding end</w:t>
      </w:r>
      <w:r w:rsidR="005E0CD5">
        <w:rPr>
          <w:bCs/>
        </w:rPr>
        <w:t>-of-</w:t>
      </w:r>
      <w:r w:rsidR="0024023A">
        <w:rPr>
          <w:bCs/>
        </w:rPr>
        <w:t xml:space="preserve">life care to achieve positive health and intended outcomes. </w:t>
      </w:r>
      <w:r w:rsidR="00F046CB">
        <w:rPr>
          <w:bCs/>
        </w:rPr>
        <w:t>It outlines step</w:t>
      </w:r>
      <w:r w:rsidR="005E0CD5">
        <w:rPr>
          <w:bCs/>
        </w:rPr>
        <w:t>-by-</w:t>
      </w:r>
      <w:r w:rsidR="00F046CB">
        <w:rPr>
          <w:bCs/>
        </w:rPr>
        <w:t>step decision</w:t>
      </w:r>
      <w:r w:rsidR="005E0CD5">
        <w:rPr>
          <w:bCs/>
        </w:rPr>
        <w:t>-</w:t>
      </w:r>
      <w:r w:rsidR="00F046CB">
        <w:rPr>
          <w:bCs/>
        </w:rPr>
        <w:t xml:space="preserve">making approaches that address changing patient health. Caregivers, family members and healthcare professionals need to be aware of the available information to support their </w:t>
      </w:r>
      <w:r w:rsidR="005C78C4">
        <w:rPr>
          <w:bCs/>
        </w:rPr>
        <w:t>decision-making</w:t>
      </w:r>
      <w:r w:rsidR="00F046CB">
        <w:rPr>
          <w:bCs/>
        </w:rPr>
        <w:t xml:space="preserve"> process in different situations that they may </w:t>
      </w:r>
      <w:r w:rsidR="00F046CB">
        <w:rPr>
          <w:bCs/>
        </w:rPr>
        <w:lastRenderedPageBreak/>
        <w:t>encounter and triggers of certain responses. This disaster preparedness toolkit is intended to help caregiver</w:t>
      </w:r>
      <w:r w:rsidR="005E0CD5">
        <w:rPr>
          <w:bCs/>
        </w:rPr>
        <w:t>s</w:t>
      </w:r>
      <w:r w:rsidR="00F046CB">
        <w:rPr>
          <w:bCs/>
        </w:rPr>
        <w:t xml:space="preserve"> and healthcare providers to make these decisions. </w:t>
      </w:r>
      <w:r w:rsidR="00C97F64">
        <w:rPr>
          <w:bCs/>
        </w:rPr>
        <w:t xml:space="preserve">The tool kit provides step by step </w:t>
      </w:r>
      <w:r w:rsidR="006D3288">
        <w:rPr>
          <w:bCs/>
        </w:rPr>
        <w:t>direction of decision</w:t>
      </w:r>
      <w:r w:rsidR="005E0CD5">
        <w:rPr>
          <w:bCs/>
        </w:rPr>
        <w:t>-</w:t>
      </w:r>
      <w:r w:rsidR="006D3288">
        <w:rPr>
          <w:bCs/>
        </w:rPr>
        <w:t xml:space="preserve">making in </w:t>
      </w:r>
      <w:r w:rsidR="005E0CD5">
        <w:rPr>
          <w:bCs/>
        </w:rPr>
        <w:t xml:space="preserve">the </w:t>
      </w:r>
      <w:r w:rsidR="006D3288">
        <w:rPr>
          <w:bCs/>
        </w:rPr>
        <w:t>provision of end</w:t>
      </w:r>
      <w:r w:rsidR="005E0CD5">
        <w:rPr>
          <w:bCs/>
        </w:rPr>
        <w:t>-of-</w:t>
      </w:r>
      <w:r w:rsidR="006D3288">
        <w:rPr>
          <w:bCs/>
        </w:rPr>
        <w:t xml:space="preserve">life care. </w:t>
      </w:r>
      <w:r w:rsidR="00186749">
        <w:rPr>
          <w:bCs/>
        </w:rPr>
        <w:t>End</w:t>
      </w:r>
      <w:r w:rsidR="005E0CD5">
        <w:rPr>
          <w:bCs/>
        </w:rPr>
        <w:t>-of-</w:t>
      </w:r>
      <w:r w:rsidR="00186749">
        <w:rPr>
          <w:bCs/>
        </w:rPr>
        <w:t>life care can be a challenging process</w:t>
      </w:r>
      <w:r w:rsidR="005E0CD5">
        <w:rPr>
          <w:bCs/>
        </w:rPr>
        <w:t>,</w:t>
      </w:r>
      <w:r w:rsidR="00186749">
        <w:rPr>
          <w:bCs/>
        </w:rPr>
        <w:t xml:space="preserve"> especially</w:t>
      </w:r>
      <w:r w:rsidR="00790476">
        <w:rPr>
          <w:bCs/>
        </w:rPr>
        <w:t xml:space="preserve"> due to the complexity of patient health and urgent decisions that have to be made. </w:t>
      </w:r>
      <w:r w:rsidR="004A053F">
        <w:rPr>
          <w:bCs/>
        </w:rPr>
        <w:t>This disaster</w:t>
      </w:r>
      <w:r w:rsidR="005E0CD5">
        <w:rPr>
          <w:bCs/>
        </w:rPr>
        <w:t>-</w:t>
      </w:r>
      <w:r w:rsidR="004A053F">
        <w:rPr>
          <w:bCs/>
        </w:rPr>
        <w:t xml:space="preserve">prepared preparedness toolkit ensures that caregivers and healthcare professionals make </w:t>
      </w:r>
      <w:r w:rsidR="008B47C2">
        <w:rPr>
          <w:bCs/>
        </w:rPr>
        <w:t xml:space="preserve">appropriate decisions that lead to positive patient outcomes. </w:t>
      </w:r>
      <w:r w:rsidR="00C91D76">
        <w:rPr>
          <w:bCs/>
        </w:rPr>
        <w:t xml:space="preserve">It outlines processes to </w:t>
      </w:r>
      <w:r w:rsidR="005E0CD5">
        <w:rPr>
          <w:bCs/>
        </w:rPr>
        <w:t xml:space="preserve">adhereto </w:t>
      </w:r>
      <w:r w:rsidR="00F5075A">
        <w:rPr>
          <w:bCs/>
        </w:rPr>
        <w:t xml:space="preserve">in recognition and management planning, </w:t>
      </w:r>
      <w:r w:rsidR="00C61413">
        <w:rPr>
          <w:bCs/>
        </w:rPr>
        <w:t xml:space="preserve">medication management, </w:t>
      </w:r>
      <w:r w:rsidR="00DD0EF2">
        <w:rPr>
          <w:bCs/>
        </w:rPr>
        <w:t>accelerating patient transfer to home</w:t>
      </w:r>
      <w:r w:rsidR="005E0CD5">
        <w:rPr>
          <w:bCs/>
        </w:rPr>
        <w:t>,</w:t>
      </w:r>
      <w:r w:rsidR="00DD0EF2">
        <w:rPr>
          <w:bCs/>
        </w:rPr>
        <w:t xml:space="preserve"> allowing them to die peacefully at home and avoid hospital expenses</w:t>
      </w:r>
      <w:r w:rsidR="0041400C">
        <w:rPr>
          <w:bCs/>
        </w:rPr>
        <w:t xml:space="preserve">, and communication. </w:t>
      </w:r>
      <w:r w:rsidR="00AD4201">
        <w:rPr>
          <w:bCs/>
        </w:rPr>
        <w:t xml:space="preserve">The steps are </w:t>
      </w:r>
      <w:r w:rsidR="001E2587">
        <w:rPr>
          <w:bCs/>
        </w:rPr>
        <w:t>in line with the national guideline of providing care for end</w:t>
      </w:r>
      <w:r w:rsidR="005E0CD5">
        <w:rPr>
          <w:bCs/>
        </w:rPr>
        <w:t>-of-</w:t>
      </w:r>
      <w:r w:rsidR="001E2587">
        <w:rPr>
          <w:bCs/>
        </w:rPr>
        <w:t xml:space="preserve">life patients to ensure that quality care is provided to achieve the desired outcomes. </w:t>
      </w:r>
    </w:p>
    <w:p w:rsidR="003B6A37" w:rsidRPr="000C394E" w:rsidRDefault="003B6A37" w:rsidP="000C394E">
      <w:pPr>
        <w:spacing w:after="0" w:line="480" w:lineRule="auto"/>
        <w:jc w:val="center"/>
        <w:rPr>
          <w:b/>
        </w:rPr>
      </w:pPr>
    </w:p>
    <w:p w:rsidR="005852E3" w:rsidRDefault="005852E3">
      <w:pPr>
        <w:rPr>
          <w:b/>
          <w:bCs/>
        </w:rPr>
      </w:pPr>
      <w:r>
        <w:rPr>
          <w:b/>
          <w:bCs/>
        </w:rPr>
        <w:br w:type="page"/>
      </w:r>
    </w:p>
    <w:p w:rsidR="006B4E2F" w:rsidRDefault="005852E3" w:rsidP="00D0118C">
      <w:pPr>
        <w:spacing w:after="0" w:line="480" w:lineRule="auto"/>
        <w:jc w:val="center"/>
        <w:rPr>
          <w:b/>
          <w:bCs/>
        </w:rPr>
      </w:pPr>
      <w:r>
        <w:rPr>
          <w:b/>
          <w:bCs/>
        </w:rPr>
        <w:lastRenderedPageBreak/>
        <w:t>References</w:t>
      </w:r>
    </w:p>
    <w:p w:rsidR="005852E3" w:rsidRPr="000E53A8" w:rsidRDefault="005852E3" w:rsidP="00BF574F">
      <w:pPr>
        <w:spacing w:after="0" w:line="480" w:lineRule="auto"/>
        <w:ind w:left="720" w:hanging="720"/>
        <w:rPr>
          <w:szCs w:val="24"/>
        </w:rPr>
      </w:pPr>
      <w:r w:rsidRPr="005852E3">
        <w:t>Barndt, S. N. (2018). Death in trauma: the role of the ACNP in patient advocacy and familial support in end-of-life care decision-making. </w:t>
      </w:r>
      <w:r w:rsidRPr="005852E3">
        <w:rPr>
          <w:i/>
          <w:iCs/>
        </w:rPr>
        <w:t>Journal of Trauma Nursing| JTN</w:t>
      </w:r>
      <w:r w:rsidRPr="005852E3">
        <w:t>, </w:t>
      </w:r>
      <w:r w:rsidRPr="005852E3">
        <w:rPr>
          <w:i/>
          <w:iCs/>
        </w:rPr>
        <w:t>25</w:t>
      </w:r>
      <w:r w:rsidRPr="005852E3">
        <w:t xml:space="preserve">(3), </w:t>
      </w:r>
      <w:r w:rsidRPr="005852E3">
        <w:rPr>
          <w:szCs w:val="24"/>
        </w:rPr>
        <w:t>171-176.</w:t>
      </w:r>
    </w:p>
    <w:p w:rsidR="005852E3" w:rsidRPr="005852E3" w:rsidRDefault="00A431F9" w:rsidP="00BF574F">
      <w:pPr>
        <w:spacing w:after="0" w:line="480" w:lineRule="auto"/>
        <w:ind w:left="720" w:hanging="720"/>
        <w:rPr>
          <w:szCs w:val="24"/>
        </w:rPr>
      </w:pPr>
      <w:r w:rsidRPr="000E53A8">
        <w:rPr>
          <w:color w:val="222222"/>
          <w:szCs w:val="24"/>
          <w:shd w:val="clear" w:color="auto" w:fill="FFFFFF"/>
        </w:rPr>
        <w:t>Brooks, L. A., Manias, E., &amp; Nicholson, P. (2017). Communication and decision-making about end-of-life care in the intensive care unit. </w:t>
      </w:r>
      <w:r w:rsidRPr="000E53A8">
        <w:rPr>
          <w:i/>
          <w:iCs/>
          <w:color w:val="222222"/>
          <w:szCs w:val="24"/>
          <w:shd w:val="clear" w:color="auto" w:fill="FFFFFF"/>
        </w:rPr>
        <w:t>American Journal of critical care</w:t>
      </w:r>
      <w:r w:rsidRPr="000E53A8">
        <w:rPr>
          <w:color w:val="222222"/>
          <w:szCs w:val="24"/>
          <w:shd w:val="clear" w:color="auto" w:fill="FFFFFF"/>
        </w:rPr>
        <w:t>, </w:t>
      </w:r>
      <w:r w:rsidRPr="000E53A8">
        <w:rPr>
          <w:i/>
          <w:iCs/>
          <w:color w:val="222222"/>
          <w:szCs w:val="24"/>
          <w:shd w:val="clear" w:color="auto" w:fill="FFFFFF"/>
        </w:rPr>
        <w:t>26</w:t>
      </w:r>
      <w:r w:rsidRPr="000E53A8">
        <w:rPr>
          <w:color w:val="222222"/>
          <w:szCs w:val="24"/>
          <w:shd w:val="clear" w:color="auto" w:fill="FFFFFF"/>
        </w:rPr>
        <w:t>(4), 336-341.</w:t>
      </w:r>
    </w:p>
    <w:p w:rsidR="005852E3" w:rsidRPr="00917E49" w:rsidRDefault="005852E3" w:rsidP="00BF574F">
      <w:pPr>
        <w:spacing w:after="0" w:line="480" w:lineRule="auto"/>
        <w:ind w:left="720" w:hanging="720"/>
        <w:rPr>
          <w:szCs w:val="24"/>
        </w:rPr>
      </w:pPr>
      <w:r w:rsidRPr="005852E3">
        <w:rPr>
          <w:szCs w:val="24"/>
        </w:rPr>
        <w:t>Ersek, M., Smith, D., Griffin, H., Carpenter, J. G., Feder, S. L., Shreve, S. T., ... &amp;Kutney-Lee, A. (2021). End-of-life care in the time of COVID-19: Communication matters more than ever. </w:t>
      </w:r>
      <w:r w:rsidRPr="005852E3">
        <w:rPr>
          <w:i/>
          <w:iCs/>
          <w:szCs w:val="24"/>
        </w:rPr>
        <w:t>Journal of pain and symptom management</w:t>
      </w:r>
      <w:r w:rsidRPr="005852E3">
        <w:rPr>
          <w:szCs w:val="24"/>
        </w:rPr>
        <w:t>.</w:t>
      </w:r>
    </w:p>
    <w:p w:rsidR="005852E3" w:rsidRPr="005852E3" w:rsidRDefault="00917E49" w:rsidP="00BF574F">
      <w:pPr>
        <w:spacing w:after="0" w:line="480" w:lineRule="auto"/>
        <w:ind w:left="720" w:hanging="720"/>
        <w:rPr>
          <w:szCs w:val="24"/>
        </w:rPr>
      </w:pPr>
      <w:r w:rsidRPr="00917E49">
        <w:rPr>
          <w:color w:val="222222"/>
          <w:szCs w:val="24"/>
          <w:shd w:val="clear" w:color="auto" w:fill="FFFFFF"/>
        </w:rPr>
        <w:t>Pivodic, L., Smets, T., Van den Noortgate, N., Onwuteaka-Philipsen, B. D., Engels, Y., Szczerbińska, K., ... &amp; Van den Block, L. (2018). Quality of dying and quality of end-of-life care of nursing home residents in six countries: an epidemiological study. </w:t>
      </w:r>
      <w:r w:rsidRPr="00917E49">
        <w:rPr>
          <w:i/>
          <w:iCs/>
          <w:color w:val="222222"/>
          <w:szCs w:val="24"/>
          <w:shd w:val="clear" w:color="auto" w:fill="FFFFFF"/>
        </w:rPr>
        <w:t>Palliative medicine</w:t>
      </w:r>
      <w:r w:rsidRPr="00917E49">
        <w:rPr>
          <w:color w:val="222222"/>
          <w:szCs w:val="24"/>
          <w:shd w:val="clear" w:color="auto" w:fill="FFFFFF"/>
        </w:rPr>
        <w:t>, </w:t>
      </w:r>
      <w:r w:rsidRPr="00917E49">
        <w:rPr>
          <w:i/>
          <w:iCs/>
          <w:color w:val="222222"/>
          <w:szCs w:val="24"/>
          <w:shd w:val="clear" w:color="auto" w:fill="FFFFFF"/>
        </w:rPr>
        <w:t>32</w:t>
      </w:r>
      <w:r w:rsidRPr="00917E49">
        <w:rPr>
          <w:color w:val="222222"/>
          <w:szCs w:val="24"/>
          <w:shd w:val="clear" w:color="auto" w:fill="FFFFFF"/>
        </w:rPr>
        <w:t>(10), 1584-1595.</w:t>
      </w:r>
    </w:p>
    <w:p w:rsidR="005852E3" w:rsidRPr="005852E3" w:rsidRDefault="005852E3" w:rsidP="00BF574F">
      <w:pPr>
        <w:spacing w:after="0" w:line="480" w:lineRule="auto"/>
        <w:ind w:left="720" w:hanging="720"/>
      </w:pPr>
      <w:r w:rsidRPr="005852E3">
        <w:rPr>
          <w:szCs w:val="24"/>
        </w:rPr>
        <w:t>Yadav, K. N., Gabler, N. B., Cooney, E., Kent, S., Kim, J., Herbst, N., ... &amp; Courtright, K. R. (2017). Approximately one in three US adults completes</w:t>
      </w:r>
      <w:r w:rsidRPr="005852E3">
        <w:t xml:space="preserve"> any type of advance directive for end-of-life care. </w:t>
      </w:r>
      <w:r w:rsidRPr="005852E3">
        <w:rPr>
          <w:i/>
          <w:iCs/>
        </w:rPr>
        <w:t>Health Affairs</w:t>
      </w:r>
      <w:r w:rsidRPr="005852E3">
        <w:t>, </w:t>
      </w:r>
      <w:r w:rsidRPr="005852E3">
        <w:rPr>
          <w:i/>
          <w:iCs/>
        </w:rPr>
        <w:t>36</w:t>
      </w:r>
      <w:r w:rsidRPr="005852E3">
        <w:t>(7), 1244-1251.</w:t>
      </w:r>
    </w:p>
    <w:p w:rsidR="005852E3" w:rsidRPr="004835BB" w:rsidRDefault="005852E3" w:rsidP="006B4E2F">
      <w:pPr>
        <w:spacing w:after="0" w:line="480" w:lineRule="auto"/>
        <w:rPr>
          <w:b/>
          <w:bCs/>
        </w:rPr>
      </w:pPr>
    </w:p>
    <w:sectPr w:rsidR="005852E3" w:rsidRPr="004835BB" w:rsidSect="0078652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6F3" w:rsidRDefault="003806F3" w:rsidP="00DF17F4">
      <w:pPr>
        <w:spacing w:after="0" w:line="240" w:lineRule="auto"/>
      </w:pPr>
      <w:r>
        <w:separator/>
      </w:r>
    </w:p>
  </w:endnote>
  <w:endnote w:type="continuationSeparator" w:id="1">
    <w:p w:rsidR="003806F3" w:rsidRDefault="003806F3"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6F3" w:rsidRDefault="003806F3" w:rsidP="00DF17F4">
      <w:pPr>
        <w:spacing w:after="0" w:line="240" w:lineRule="auto"/>
      </w:pPr>
      <w:r>
        <w:separator/>
      </w:r>
    </w:p>
  </w:footnote>
  <w:footnote w:type="continuationSeparator" w:id="1">
    <w:p w:rsidR="003806F3" w:rsidRDefault="003806F3"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F4" w:rsidRDefault="00DF17F4">
    <w:pPr>
      <w:pStyle w:val="Header"/>
    </w:pPr>
    <w:r>
      <w:tab/>
    </w:r>
    <w:r>
      <w:tab/>
    </w:r>
    <w:r w:rsidR="0078652C">
      <w:fldChar w:fldCharType="begin"/>
    </w:r>
    <w:r>
      <w:instrText xml:space="preserve"> PAGE   \* MERGEFORMAT </w:instrText>
    </w:r>
    <w:r w:rsidR="0078652C">
      <w:fldChar w:fldCharType="separate"/>
    </w:r>
    <w:r w:rsidR="00010091">
      <w:rPr>
        <w:noProof/>
      </w:rPr>
      <w:t>8</w:t>
    </w:r>
    <w:r w:rsidR="0078652C">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F6680"/>
    <w:multiLevelType w:val="hybridMultilevel"/>
    <w:tmpl w:val="1B18ECFE"/>
    <w:lvl w:ilvl="0" w:tplc="80D633BE">
      <w:start w:val="1"/>
      <w:numFmt w:val="bullet"/>
      <w:lvlText w:val=""/>
      <w:lvlJc w:val="left"/>
      <w:pPr>
        <w:tabs>
          <w:tab w:val="num" w:pos="720"/>
        </w:tabs>
        <w:ind w:left="720" w:hanging="360"/>
      </w:pPr>
      <w:rPr>
        <w:rFonts w:ascii="Wingdings" w:hAnsi="Wingdings" w:hint="default"/>
      </w:rPr>
    </w:lvl>
    <w:lvl w:ilvl="1" w:tplc="5C76798E" w:tentative="1">
      <w:start w:val="1"/>
      <w:numFmt w:val="bullet"/>
      <w:lvlText w:val=""/>
      <w:lvlJc w:val="left"/>
      <w:pPr>
        <w:tabs>
          <w:tab w:val="num" w:pos="1440"/>
        </w:tabs>
        <w:ind w:left="1440" w:hanging="360"/>
      </w:pPr>
      <w:rPr>
        <w:rFonts w:ascii="Wingdings" w:hAnsi="Wingdings" w:hint="default"/>
      </w:rPr>
    </w:lvl>
    <w:lvl w:ilvl="2" w:tplc="DB76BDA0" w:tentative="1">
      <w:start w:val="1"/>
      <w:numFmt w:val="bullet"/>
      <w:lvlText w:val=""/>
      <w:lvlJc w:val="left"/>
      <w:pPr>
        <w:tabs>
          <w:tab w:val="num" w:pos="2160"/>
        </w:tabs>
        <w:ind w:left="2160" w:hanging="360"/>
      </w:pPr>
      <w:rPr>
        <w:rFonts w:ascii="Wingdings" w:hAnsi="Wingdings" w:hint="default"/>
      </w:rPr>
    </w:lvl>
    <w:lvl w:ilvl="3" w:tplc="4CE4160C" w:tentative="1">
      <w:start w:val="1"/>
      <w:numFmt w:val="bullet"/>
      <w:lvlText w:val=""/>
      <w:lvlJc w:val="left"/>
      <w:pPr>
        <w:tabs>
          <w:tab w:val="num" w:pos="2880"/>
        </w:tabs>
        <w:ind w:left="2880" w:hanging="360"/>
      </w:pPr>
      <w:rPr>
        <w:rFonts w:ascii="Wingdings" w:hAnsi="Wingdings" w:hint="default"/>
      </w:rPr>
    </w:lvl>
    <w:lvl w:ilvl="4" w:tplc="0ED2DE76" w:tentative="1">
      <w:start w:val="1"/>
      <w:numFmt w:val="bullet"/>
      <w:lvlText w:val=""/>
      <w:lvlJc w:val="left"/>
      <w:pPr>
        <w:tabs>
          <w:tab w:val="num" w:pos="3600"/>
        </w:tabs>
        <w:ind w:left="3600" w:hanging="360"/>
      </w:pPr>
      <w:rPr>
        <w:rFonts w:ascii="Wingdings" w:hAnsi="Wingdings" w:hint="default"/>
      </w:rPr>
    </w:lvl>
    <w:lvl w:ilvl="5" w:tplc="CFC67846" w:tentative="1">
      <w:start w:val="1"/>
      <w:numFmt w:val="bullet"/>
      <w:lvlText w:val=""/>
      <w:lvlJc w:val="left"/>
      <w:pPr>
        <w:tabs>
          <w:tab w:val="num" w:pos="4320"/>
        </w:tabs>
        <w:ind w:left="4320" w:hanging="360"/>
      </w:pPr>
      <w:rPr>
        <w:rFonts w:ascii="Wingdings" w:hAnsi="Wingdings" w:hint="default"/>
      </w:rPr>
    </w:lvl>
    <w:lvl w:ilvl="6" w:tplc="74F2E030" w:tentative="1">
      <w:start w:val="1"/>
      <w:numFmt w:val="bullet"/>
      <w:lvlText w:val=""/>
      <w:lvlJc w:val="left"/>
      <w:pPr>
        <w:tabs>
          <w:tab w:val="num" w:pos="5040"/>
        </w:tabs>
        <w:ind w:left="5040" w:hanging="360"/>
      </w:pPr>
      <w:rPr>
        <w:rFonts w:ascii="Wingdings" w:hAnsi="Wingdings" w:hint="default"/>
      </w:rPr>
    </w:lvl>
    <w:lvl w:ilvl="7" w:tplc="4DA4F5C0" w:tentative="1">
      <w:start w:val="1"/>
      <w:numFmt w:val="bullet"/>
      <w:lvlText w:val=""/>
      <w:lvlJc w:val="left"/>
      <w:pPr>
        <w:tabs>
          <w:tab w:val="num" w:pos="5760"/>
        </w:tabs>
        <w:ind w:left="5760" w:hanging="360"/>
      </w:pPr>
      <w:rPr>
        <w:rFonts w:ascii="Wingdings" w:hAnsi="Wingdings" w:hint="default"/>
      </w:rPr>
    </w:lvl>
    <w:lvl w:ilvl="8" w:tplc="79D8D3F4" w:tentative="1">
      <w:start w:val="1"/>
      <w:numFmt w:val="bullet"/>
      <w:lvlText w:val=""/>
      <w:lvlJc w:val="left"/>
      <w:pPr>
        <w:tabs>
          <w:tab w:val="num" w:pos="6480"/>
        </w:tabs>
        <w:ind w:left="6480" w:hanging="360"/>
      </w:pPr>
      <w:rPr>
        <w:rFonts w:ascii="Wingdings" w:hAnsi="Wingdings" w:hint="default"/>
      </w:rPr>
    </w:lvl>
  </w:abstractNum>
  <w:abstractNum w:abstractNumId="1">
    <w:nsid w:val="618A460B"/>
    <w:multiLevelType w:val="hybridMultilevel"/>
    <w:tmpl w:val="9E222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431DD"/>
    <w:multiLevelType w:val="hybridMultilevel"/>
    <w:tmpl w:val="6CB84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MqwFABCulmktAAAA"/>
  </w:docVars>
  <w:rsids>
    <w:rsidRoot w:val="00AD3D84"/>
    <w:rsid w:val="00010091"/>
    <w:rsid w:val="00013B91"/>
    <w:rsid w:val="00014DAF"/>
    <w:rsid w:val="00026B1D"/>
    <w:rsid w:val="00026BCD"/>
    <w:rsid w:val="00034F65"/>
    <w:rsid w:val="000413E7"/>
    <w:rsid w:val="00043F9A"/>
    <w:rsid w:val="00044359"/>
    <w:rsid w:val="0004497E"/>
    <w:rsid w:val="00052B75"/>
    <w:rsid w:val="00054483"/>
    <w:rsid w:val="00056F10"/>
    <w:rsid w:val="0006717E"/>
    <w:rsid w:val="000704D7"/>
    <w:rsid w:val="00070C8C"/>
    <w:rsid w:val="00072558"/>
    <w:rsid w:val="000728A3"/>
    <w:rsid w:val="0007356B"/>
    <w:rsid w:val="000741D6"/>
    <w:rsid w:val="000756CD"/>
    <w:rsid w:val="00075DE2"/>
    <w:rsid w:val="00076142"/>
    <w:rsid w:val="000A4239"/>
    <w:rsid w:val="000A6D04"/>
    <w:rsid w:val="000B00AA"/>
    <w:rsid w:val="000B220E"/>
    <w:rsid w:val="000B5153"/>
    <w:rsid w:val="000B6444"/>
    <w:rsid w:val="000C394E"/>
    <w:rsid w:val="000C6FA2"/>
    <w:rsid w:val="000D03AE"/>
    <w:rsid w:val="000D0577"/>
    <w:rsid w:val="000D3845"/>
    <w:rsid w:val="000D44CC"/>
    <w:rsid w:val="000D4F76"/>
    <w:rsid w:val="000D7332"/>
    <w:rsid w:val="000D7821"/>
    <w:rsid w:val="000D787F"/>
    <w:rsid w:val="000D7BF9"/>
    <w:rsid w:val="000E000F"/>
    <w:rsid w:val="000E0588"/>
    <w:rsid w:val="000E0783"/>
    <w:rsid w:val="000E18A0"/>
    <w:rsid w:val="000E42D6"/>
    <w:rsid w:val="000E53A8"/>
    <w:rsid w:val="000E5550"/>
    <w:rsid w:val="000F12EC"/>
    <w:rsid w:val="000F1B24"/>
    <w:rsid w:val="000F2A77"/>
    <w:rsid w:val="000F368B"/>
    <w:rsid w:val="000F5A8D"/>
    <w:rsid w:val="000F5C1B"/>
    <w:rsid w:val="00102738"/>
    <w:rsid w:val="00103168"/>
    <w:rsid w:val="00104403"/>
    <w:rsid w:val="001102F1"/>
    <w:rsid w:val="00112A45"/>
    <w:rsid w:val="00121E51"/>
    <w:rsid w:val="001227DA"/>
    <w:rsid w:val="00124B66"/>
    <w:rsid w:val="00131A04"/>
    <w:rsid w:val="00133EDF"/>
    <w:rsid w:val="00134D12"/>
    <w:rsid w:val="001446F0"/>
    <w:rsid w:val="001450A2"/>
    <w:rsid w:val="001467E7"/>
    <w:rsid w:val="001468AB"/>
    <w:rsid w:val="00150A65"/>
    <w:rsid w:val="001520F2"/>
    <w:rsid w:val="00152BE2"/>
    <w:rsid w:val="0016023B"/>
    <w:rsid w:val="0016264D"/>
    <w:rsid w:val="001746FE"/>
    <w:rsid w:val="00180DA5"/>
    <w:rsid w:val="001831F6"/>
    <w:rsid w:val="00183D78"/>
    <w:rsid w:val="00186749"/>
    <w:rsid w:val="00191421"/>
    <w:rsid w:val="00191865"/>
    <w:rsid w:val="001A1EC4"/>
    <w:rsid w:val="001A5B81"/>
    <w:rsid w:val="001A7EE6"/>
    <w:rsid w:val="001B04F2"/>
    <w:rsid w:val="001C1269"/>
    <w:rsid w:val="001C427C"/>
    <w:rsid w:val="001C4631"/>
    <w:rsid w:val="001C6C2D"/>
    <w:rsid w:val="001D261F"/>
    <w:rsid w:val="001D4523"/>
    <w:rsid w:val="001D7FB0"/>
    <w:rsid w:val="001E12AE"/>
    <w:rsid w:val="001E2587"/>
    <w:rsid w:val="001F7FDA"/>
    <w:rsid w:val="00207AC7"/>
    <w:rsid w:val="002121EC"/>
    <w:rsid w:val="00212994"/>
    <w:rsid w:val="00214093"/>
    <w:rsid w:val="00217915"/>
    <w:rsid w:val="00220AC8"/>
    <w:rsid w:val="0022402C"/>
    <w:rsid w:val="00224D61"/>
    <w:rsid w:val="0023250C"/>
    <w:rsid w:val="0024023A"/>
    <w:rsid w:val="00240CC5"/>
    <w:rsid w:val="00241B29"/>
    <w:rsid w:val="00241E04"/>
    <w:rsid w:val="00244043"/>
    <w:rsid w:val="00252B0A"/>
    <w:rsid w:val="00254C8F"/>
    <w:rsid w:val="002623A8"/>
    <w:rsid w:val="00267206"/>
    <w:rsid w:val="00274F18"/>
    <w:rsid w:val="00285B68"/>
    <w:rsid w:val="00292AE5"/>
    <w:rsid w:val="002975D6"/>
    <w:rsid w:val="002A37B6"/>
    <w:rsid w:val="002A4D9B"/>
    <w:rsid w:val="002A50CA"/>
    <w:rsid w:val="002B0127"/>
    <w:rsid w:val="002B381E"/>
    <w:rsid w:val="002B387E"/>
    <w:rsid w:val="002B55F7"/>
    <w:rsid w:val="002B7EB8"/>
    <w:rsid w:val="002C2C93"/>
    <w:rsid w:val="002C3414"/>
    <w:rsid w:val="002D07DD"/>
    <w:rsid w:val="002D0B6D"/>
    <w:rsid w:val="002D5493"/>
    <w:rsid w:val="002D68E4"/>
    <w:rsid w:val="002E429B"/>
    <w:rsid w:val="002E59D2"/>
    <w:rsid w:val="002F6B19"/>
    <w:rsid w:val="00301410"/>
    <w:rsid w:val="0030415E"/>
    <w:rsid w:val="003050E3"/>
    <w:rsid w:val="00305DAB"/>
    <w:rsid w:val="00310885"/>
    <w:rsid w:val="0031122F"/>
    <w:rsid w:val="003118AB"/>
    <w:rsid w:val="0031335E"/>
    <w:rsid w:val="00314C8D"/>
    <w:rsid w:val="0032252D"/>
    <w:rsid w:val="00323F38"/>
    <w:rsid w:val="0032400C"/>
    <w:rsid w:val="003265A7"/>
    <w:rsid w:val="00330474"/>
    <w:rsid w:val="00331799"/>
    <w:rsid w:val="0033354E"/>
    <w:rsid w:val="00334EEE"/>
    <w:rsid w:val="00335432"/>
    <w:rsid w:val="0034315C"/>
    <w:rsid w:val="00343A98"/>
    <w:rsid w:val="00347DF2"/>
    <w:rsid w:val="00350C43"/>
    <w:rsid w:val="00351186"/>
    <w:rsid w:val="00351D80"/>
    <w:rsid w:val="0035374B"/>
    <w:rsid w:val="0035518B"/>
    <w:rsid w:val="003558FD"/>
    <w:rsid w:val="00357BD8"/>
    <w:rsid w:val="00357F41"/>
    <w:rsid w:val="0036486E"/>
    <w:rsid w:val="00366AF3"/>
    <w:rsid w:val="00367207"/>
    <w:rsid w:val="003673F6"/>
    <w:rsid w:val="003806F3"/>
    <w:rsid w:val="003855AA"/>
    <w:rsid w:val="00386F33"/>
    <w:rsid w:val="00391A6A"/>
    <w:rsid w:val="0039536B"/>
    <w:rsid w:val="0039676F"/>
    <w:rsid w:val="00397B6D"/>
    <w:rsid w:val="003A0E41"/>
    <w:rsid w:val="003A2AC3"/>
    <w:rsid w:val="003B02C1"/>
    <w:rsid w:val="003B11C6"/>
    <w:rsid w:val="003B25FA"/>
    <w:rsid w:val="003B5393"/>
    <w:rsid w:val="003B5566"/>
    <w:rsid w:val="003B62E1"/>
    <w:rsid w:val="003B6A37"/>
    <w:rsid w:val="003C16C8"/>
    <w:rsid w:val="003C2B37"/>
    <w:rsid w:val="003C3A28"/>
    <w:rsid w:val="003C4B25"/>
    <w:rsid w:val="003C6B58"/>
    <w:rsid w:val="003D3E3F"/>
    <w:rsid w:val="003E3F86"/>
    <w:rsid w:val="003E41FE"/>
    <w:rsid w:val="003E5BE4"/>
    <w:rsid w:val="003E6B3D"/>
    <w:rsid w:val="003F08F1"/>
    <w:rsid w:val="003F228A"/>
    <w:rsid w:val="003F68B6"/>
    <w:rsid w:val="00401FAE"/>
    <w:rsid w:val="00403402"/>
    <w:rsid w:val="004042B0"/>
    <w:rsid w:val="0041400C"/>
    <w:rsid w:val="00416594"/>
    <w:rsid w:val="00423919"/>
    <w:rsid w:val="004244EB"/>
    <w:rsid w:val="00430983"/>
    <w:rsid w:val="00431253"/>
    <w:rsid w:val="004312CF"/>
    <w:rsid w:val="00433256"/>
    <w:rsid w:val="00435241"/>
    <w:rsid w:val="0043649F"/>
    <w:rsid w:val="004371FD"/>
    <w:rsid w:val="004404AC"/>
    <w:rsid w:val="004417E2"/>
    <w:rsid w:val="00441FDC"/>
    <w:rsid w:val="00442D80"/>
    <w:rsid w:val="0045193F"/>
    <w:rsid w:val="004522AA"/>
    <w:rsid w:val="00455937"/>
    <w:rsid w:val="00456E77"/>
    <w:rsid w:val="00457156"/>
    <w:rsid w:val="00461640"/>
    <w:rsid w:val="004625BC"/>
    <w:rsid w:val="004627E6"/>
    <w:rsid w:val="00471ED8"/>
    <w:rsid w:val="004721F4"/>
    <w:rsid w:val="00473273"/>
    <w:rsid w:val="00476E83"/>
    <w:rsid w:val="004804D5"/>
    <w:rsid w:val="004835BB"/>
    <w:rsid w:val="004924CB"/>
    <w:rsid w:val="004962E3"/>
    <w:rsid w:val="004A041F"/>
    <w:rsid w:val="004A0508"/>
    <w:rsid w:val="004A053F"/>
    <w:rsid w:val="004A1C76"/>
    <w:rsid w:val="004A2A2C"/>
    <w:rsid w:val="004A52E5"/>
    <w:rsid w:val="004B15EF"/>
    <w:rsid w:val="004B6E13"/>
    <w:rsid w:val="004B7CDC"/>
    <w:rsid w:val="004C304D"/>
    <w:rsid w:val="004D3060"/>
    <w:rsid w:val="004D39BD"/>
    <w:rsid w:val="004D47C0"/>
    <w:rsid w:val="004D6399"/>
    <w:rsid w:val="004E7A87"/>
    <w:rsid w:val="00500E96"/>
    <w:rsid w:val="00502878"/>
    <w:rsid w:val="0052415B"/>
    <w:rsid w:val="005243A5"/>
    <w:rsid w:val="00524BDA"/>
    <w:rsid w:val="00525B28"/>
    <w:rsid w:val="00531EF7"/>
    <w:rsid w:val="00533D47"/>
    <w:rsid w:val="00534B0F"/>
    <w:rsid w:val="00534B65"/>
    <w:rsid w:val="005370FF"/>
    <w:rsid w:val="00541E6C"/>
    <w:rsid w:val="00543FCD"/>
    <w:rsid w:val="005475C9"/>
    <w:rsid w:val="00551263"/>
    <w:rsid w:val="00553812"/>
    <w:rsid w:val="00560817"/>
    <w:rsid w:val="0056799A"/>
    <w:rsid w:val="00577EBC"/>
    <w:rsid w:val="0058218B"/>
    <w:rsid w:val="005852E3"/>
    <w:rsid w:val="00591372"/>
    <w:rsid w:val="005A4A85"/>
    <w:rsid w:val="005A56AC"/>
    <w:rsid w:val="005A707A"/>
    <w:rsid w:val="005C78C4"/>
    <w:rsid w:val="005D61D9"/>
    <w:rsid w:val="005D7A16"/>
    <w:rsid w:val="005E0CD5"/>
    <w:rsid w:val="005E3E0A"/>
    <w:rsid w:val="005E7853"/>
    <w:rsid w:val="005F02D2"/>
    <w:rsid w:val="005F2EFD"/>
    <w:rsid w:val="005F37D2"/>
    <w:rsid w:val="005F3F05"/>
    <w:rsid w:val="005F703C"/>
    <w:rsid w:val="0060187D"/>
    <w:rsid w:val="00605941"/>
    <w:rsid w:val="00606389"/>
    <w:rsid w:val="006161D0"/>
    <w:rsid w:val="00616D0F"/>
    <w:rsid w:val="006174D5"/>
    <w:rsid w:val="0062178E"/>
    <w:rsid w:val="0062407A"/>
    <w:rsid w:val="00635CCA"/>
    <w:rsid w:val="0063638E"/>
    <w:rsid w:val="00640086"/>
    <w:rsid w:val="00640756"/>
    <w:rsid w:val="00640843"/>
    <w:rsid w:val="00640A3C"/>
    <w:rsid w:val="00645378"/>
    <w:rsid w:val="00647510"/>
    <w:rsid w:val="006550AB"/>
    <w:rsid w:val="006557C8"/>
    <w:rsid w:val="0065598E"/>
    <w:rsid w:val="006561F3"/>
    <w:rsid w:val="00657161"/>
    <w:rsid w:val="0066081A"/>
    <w:rsid w:val="0066572D"/>
    <w:rsid w:val="006676AF"/>
    <w:rsid w:val="0067362E"/>
    <w:rsid w:val="006754A9"/>
    <w:rsid w:val="00681345"/>
    <w:rsid w:val="006870BC"/>
    <w:rsid w:val="006903DC"/>
    <w:rsid w:val="00691DC9"/>
    <w:rsid w:val="00696863"/>
    <w:rsid w:val="006A5E99"/>
    <w:rsid w:val="006B42AD"/>
    <w:rsid w:val="006B4E2F"/>
    <w:rsid w:val="006B6B61"/>
    <w:rsid w:val="006C2A78"/>
    <w:rsid w:val="006C302F"/>
    <w:rsid w:val="006C5488"/>
    <w:rsid w:val="006C6C00"/>
    <w:rsid w:val="006D0581"/>
    <w:rsid w:val="006D3288"/>
    <w:rsid w:val="006E0035"/>
    <w:rsid w:val="006E3564"/>
    <w:rsid w:val="006E55AF"/>
    <w:rsid w:val="006F070E"/>
    <w:rsid w:val="006F3100"/>
    <w:rsid w:val="006F4567"/>
    <w:rsid w:val="006F7DA1"/>
    <w:rsid w:val="006F7EF0"/>
    <w:rsid w:val="007049EA"/>
    <w:rsid w:val="00704CBD"/>
    <w:rsid w:val="00704FE8"/>
    <w:rsid w:val="007060ED"/>
    <w:rsid w:val="00724075"/>
    <w:rsid w:val="007248A3"/>
    <w:rsid w:val="007348E4"/>
    <w:rsid w:val="00734B5C"/>
    <w:rsid w:val="0073659F"/>
    <w:rsid w:val="00736B64"/>
    <w:rsid w:val="007373C3"/>
    <w:rsid w:val="0074141E"/>
    <w:rsid w:val="00744ADC"/>
    <w:rsid w:val="007615A7"/>
    <w:rsid w:val="00765ED2"/>
    <w:rsid w:val="007670CE"/>
    <w:rsid w:val="00772215"/>
    <w:rsid w:val="00772ECF"/>
    <w:rsid w:val="00774981"/>
    <w:rsid w:val="00774AF4"/>
    <w:rsid w:val="00775F91"/>
    <w:rsid w:val="007770A8"/>
    <w:rsid w:val="00777173"/>
    <w:rsid w:val="0078428E"/>
    <w:rsid w:val="00785528"/>
    <w:rsid w:val="00785CE7"/>
    <w:rsid w:val="0078652C"/>
    <w:rsid w:val="00790476"/>
    <w:rsid w:val="0079741D"/>
    <w:rsid w:val="007A14AC"/>
    <w:rsid w:val="007A18EB"/>
    <w:rsid w:val="007A502D"/>
    <w:rsid w:val="007A6795"/>
    <w:rsid w:val="007A782E"/>
    <w:rsid w:val="007B0704"/>
    <w:rsid w:val="007B47D5"/>
    <w:rsid w:val="007B69F0"/>
    <w:rsid w:val="007C23AA"/>
    <w:rsid w:val="007D42FC"/>
    <w:rsid w:val="007D6E8E"/>
    <w:rsid w:val="007E0A39"/>
    <w:rsid w:val="007E0A78"/>
    <w:rsid w:val="007E2650"/>
    <w:rsid w:val="007E2933"/>
    <w:rsid w:val="007E66B8"/>
    <w:rsid w:val="007F0989"/>
    <w:rsid w:val="007F1486"/>
    <w:rsid w:val="007F2372"/>
    <w:rsid w:val="007F417F"/>
    <w:rsid w:val="007F53B2"/>
    <w:rsid w:val="007F5A8A"/>
    <w:rsid w:val="00800BF6"/>
    <w:rsid w:val="00801910"/>
    <w:rsid w:val="0080550E"/>
    <w:rsid w:val="0080690F"/>
    <w:rsid w:val="00806B45"/>
    <w:rsid w:val="008071C9"/>
    <w:rsid w:val="008076C4"/>
    <w:rsid w:val="00810635"/>
    <w:rsid w:val="00810DBC"/>
    <w:rsid w:val="00814427"/>
    <w:rsid w:val="008346F9"/>
    <w:rsid w:val="0084061D"/>
    <w:rsid w:val="00840C15"/>
    <w:rsid w:val="008418CD"/>
    <w:rsid w:val="00843CE4"/>
    <w:rsid w:val="00843DF1"/>
    <w:rsid w:val="008469B5"/>
    <w:rsid w:val="00850A21"/>
    <w:rsid w:val="00851EB9"/>
    <w:rsid w:val="008543DA"/>
    <w:rsid w:val="00855845"/>
    <w:rsid w:val="00855D13"/>
    <w:rsid w:val="00863FFC"/>
    <w:rsid w:val="008640FB"/>
    <w:rsid w:val="00876CB6"/>
    <w:rsid w:val="00885ACB"/>
    <w:rsid w:val="00892131"/>
    <w:rsid w:val="008923EB"/>
    <w:rsid w:val="00893C07"/>
    <w:rsid w:val="00893F51"/>
    <w:rsid w:val="00896996"/>
    <w:rsid w:val="008A09A2"/>
    <w:rsid w:val="008A2E01"/>
    <w:rsid w:val="008A4CE6"/>
    <w:rsid w:val="008A5E8A"/>
    <w:rsid w:val="008B21B3"/>
    <w:rsid w:val="008B4018"/>
    <w:rsid w:val="008B47C2"/>
    <w:rsid w:val="008C1D7C"/>
    <w:rsid w:val="008C2E44"/>
    <w:rsid w:val="008C63A6"/>
    <w:rsid w:val="008D242E"/>
    <w:rsid w:val="008D5072"/>
    <w:rsid w:val="008D5D30"/>
    <w:rsid w:val="008E32FB"/>
    <w:rsid w:val="008E6FEB"/>
    <w:rsid w:val="008F1399"/>
    <w:rsid w:val="008F1E87"/>
    <w:rsid w:val="008F2EE9"/>
    <w:rsid w:val="008F629D"/>
    <w:rsid w:val="00905F6B"/>
    <w:rsid w:val="00906488"/>
    <w:rsid w:val="00914123"/>
    <w:rsid w:val="00914EA7"/>
    <w:rsid w:val="00917E49"/>
    <w:rsid w:val="00920E50"/>
    <w:rsid w:val="00921519"/>
    <w:rsid w:val="00924E58"/>
    <w:rsid w:val="00926012"/>
    <w:rsid w:val="0092620B"/>
    <w:rsid w:val="0093108D"/>
    <w:rsid w:val="00932CB6"/>
    <w:rsid w:val="00936B1D"/>
    <w:rsid w:val="00937CC6"/>
    <w:rsid w:val="0095434B"/>
    <w:rsid w:val="0096025D"/>
    <w:rsid w:val="009714F1"/>
    <w:rsid w:val="00974532"/>
    <w:rsid w:val="00974B8E"/>
    <w:rsid w:val="00981F5C"/>
    <w:rsid w:val="00984D34"/>
    <w:rsid w:val="00984FD6"/>
    <w:rsid w:val="00990DE5"/>
    <w:rsid w:val="00991066"/>
    <w:rsid w:val="009941DC"/>
    <w:rsid w:val="009A0CA5"/>
    <w:rsid w:val="009A2A2F"/>
    <w:rsid w:val="009A3DDB"/>
    <w:rsid w:val="009A6BE0"/>
    <w:rsid w:val="009A7311"/>
    <w:rsid w:val="009B007F"/>
    <w:rsid w:val="009B1A11"/>
    <w:rsid w:val="009B5137"/>
    <w:rsid w:val="009B6AD2"/>
    <w:rsid w:val="009C260A"/>
    <w:rsid w:val="009C304C"/>
    <w:rsid w:val="009C56A9"/>
    <w:rsid w:val="009C60BD"/>
    <w:rsid w:val="009E26EA"/>
    <w:rsid w:val="009E3A80"/>
    <w:rsid w:val="009F3A45"/>
    <w:rsid w:val="009F55FA"/>
    <w:rsid w:val="009F64CF"/>
    <w:rsid w:val="00A04D96"/>
    <w:rsid w:val="00A1421C"/>
    <w:rsid w:val="00A15001"/>
    <w:rsid w:val="00A178CF"/>
    <w:rsid w:val="00A217F3"/>
    <w:rsid w:val="00A273D0"/>
    <w:rsid w:val="00A351D9"/>
    <w:rsid w:val="00A37F48"/>
    <w:rsid w:val="00A431F9"/>
    <w:rsid w:val="00A46AD1"/>
    <w:rsid w:val="00A51B64"/>
    <w:rsid w:val="00A5436E"/>
    <w:rsid w:val="00A5490E"/>
    <w:rsid w:val="00A56E66"/>
    <w:rsid w:val="00A64D5D"/>
    <w:rsid w:val="00A71026"/>
    <w:rsid w:val="00A71230"/>
    <w:rsid w:val="00A819F5"/>
    <w:rsid w:val="00A81A57"/>
    <w:rsid w:val="00A83E31"/>
    <w:rsid w:val="00A84E2A"/>
    <w:rsid w:val="00A855DB"/>
    <w:rsid w:val="00A871AB"/>
    <w:rsid w:val="00A87FAC"/>
    <w:rsid w:val="00A90E61"/>
    <w:rsid w:val="00A92B2E"/>
    <w:rsid w:val="00A934BC"/>
    <w:rsid w:val="00A95A34"/>
    <w:rsid w:val="00A97EBE"/>
    <w:rsid w:val="00AA1F33"/>
    <w:rsid w:val="00AA5451"/>
    <w:rsid w:val="00AA703E"/>
    <w:rsid w:val="00AA76DA"/>
    <w:rsid w:val="00AB032A"/>
    <w:rsid w:val="00AB054D"/>
    <w:rsid w:val="00AB399F"/>
    <w:rsid w:val="00AB5B3F"/>
    <w:rsid w:val="00AB62DD"/>
    <w:rsid w:val="00AD3BB1"/>
    <w:rsid w:val="00AD3D84"/>
    <w:rsid w:val="00AD4201"/>
    <w:rsid w:val="00AD4FD4"/>
    <w:rsid w:val="00AE35EA"/>
    <w:rsid w:val="00AF0028"/>
    <w:rsid w:val="00AF4B7A"/>
    <w:rsid w:val="00B0085B"/>
    <w:rsid w:val="00B00CD4"/>
    <w:rsid w:val="00B07F27"/>
    <w:rsid w:val="00B142D8"/>
    <w:rsid w:val="00B169E5"/>
    <w:rsid w:val="00B2151D"/>
    <w:rsid w:val="00B236EC"/>
    <w:rsid w:val="00B25023"/>
    <w:rsid w:val="00B26DE6"/>
    <w:rsid w:val="00B325BC"/>
    <w:rsid w:val="00B32B46"/>
    <w:rsid w:val="00B35FA6"/>
    <w:rsid w:val="00B361E8"/>
    <w:rsid w:val="00B36FC6"/>
    <w:rsid w:val="00B37159"/>
    <w:rsid w:val="00B3772F"/>
    <w:rsid w:val="00B44289"/>
    <w:rsid w:val="00B45A43"/>
    <w:rsid w:val="00B45C28"/>
    <w:rsid w:val="00B47CDC"/>
    <w:rsid w:val="00B51980"/>
    <w:rsid w:val="00B53683"/>
    <w:rsid w:val="00B54762"/>
    <w:rsid w:val="00B57A43"/>
    <w:rsid w:val="00B62B0E"/>
    <w:rsid w:val="00B65E21"/>
    <w:rsid w:val="00B76EA1"/>
    <w:rsid w:val="00B92EC8"/>
    <w:rsid w:val="00B950F3"/>
    <w:rsid w:val="00B95438"/>
    <w:rsid w:val="00BA0732"/>
    <w:rsid w:val="00BA07DF"/>
    <w:rsid w:val="00BA1D25"/>
    <w:rsid w:val="00BA3DC5"/>
    <w:rsid w:val="00BB1FCF"/>
    <w:rsid w:val="00BB209E"/>
    <w:rsid w:val="00BB299A"/>
    <w:rsid w:val="00BB415E"/>
    <w:rsid w:val="00BB77D2"/>
    <w:rsid w:val="00BB795D"/>
    <w:rsid w:val="00BC58E3"/>
    <w:rsid w:val="00BC6970"/>
    <w:rsid w:val="00BD34A8"/>
    <w:rsid w:val="00BD516A"/>
    <w:rsid w:val="00BD52D2"/>
    <w:rsid w:val="00BF2824"/>
    <w:rsid w:val="00BF4097"/>
    <w:rsid w:val="00BF55CA"/>
    <w:rsid w:val="00BF574F"/>
    <w:rsid w:val="00BF6EE5"/>
    <w:rsid w:val="00C01412"/>
    <w:rsid w:val="00C07BDB"/>
    <w:rsid w:val="00C13CAB"/>
    <w:rsid w:val="00C205C2"/>
    <w:rsid w:val="00C26850"/>
    <w:rsid w:val="00C34B2D"/>
    <w:rsid w:val="00C35345"/>
    <w:rsid w:val="00C418D5"/>
    <w:rsid w:val="00C44D75"/>
    <w:rsid w:val="00C458BF"/>
    <w:rsid w:val="00C4695E"/>
    <w:rsid w:val="00C55D19"/>
    <w:rsid w:val="00C57FAC"/>
    <w:rsid w:val="00C61413"/>
    <w:rsid w:val="00C6147F"/>
    <w:rsid w:val="00C639C6"/>
    <w:rsid w:val="00C70DD1"/>
    <w:rsid w:val="00C7113B"/>
    <w:rsid w:val="00C733C7"/>
    <w:rsid w:val="00C74045"/>
    <w:rsid w:val="00C75084"/>
    <w:rsid w:val="00C75B22"/>
    <w:rsid w:val="00C80DC6"/>
    <w:rsid w:val="00C8128E"/>
    <w:rsid w:val="00C9043F"/>
    <w:rsid w:val="00C913EC"/>
    <w:rsid w:val="00C91D76"/>
    <w:rsid w:val="00C92CAD"/>
    <w:rsid w:val="00C92E37"/>
    <w:rsid w:val="00C93DFD"/>
    <w:rsid w:val="00C97F64"/>
    <w:rsid w:val="00CA06BC"/>
    <w:rsid w:val="00CA2AE1"/>
    <w:rsid w:val="00CA3192"/>
    <w:rsid w:val="00CA4F21"/>
    <w:rsid w:val="00CA68EB"/>
    <w:rsid w:val="00CA7341"/>
    <w:rsid w:val="00CA7760"/>
    <w:rsid w:val="00CB05B5"/>
    <w:rsid w:val="00CB1A81"/>
    <w:rsid w:val="00CB21F2"/>
    <w:rsid w:val="00CB3E7D"/>
    <w:rsid w:val="00CB5829"/>
    <w:rsid w:val="00CB70F7"/>
    <w:rsid w:val="00CC019D"/>
    <w:rsid w:val="00CC2D36"/>
    <w:rsid w:val="00CC776C"/>
    <w:rsid w:val="00CC7D08"/>
    <w:rsid w:val="00CD39F3"/>
    <w:rsid w:val="00CD4B04"/>
    <w:rsid w:val="00CD6816"/>
    <w:rsid w:val="00CE1F27"/>
    <w:rsid w:val="00CE2168"/>
    <w:rsid w:val="00CE4C1F"/>
    <w:rsid w:val="00CE61E4"/>
    <w:rsid w:val="00CF1772"/>
    <w:rsid w:val="00CF68F2"/>
    <w:rsid w:val="00D0118C"/>
    <w:rsid w:val="00D03EE5"/>
    <w:rsid w:val="00D04681"/>
    <w:rsid w:val="00D1153C"/>
    <w:rsid w:val="00D13628"/>
    <w:rsid w:val="00D1470F"/>
    <w:rsid w:val="00D14FD9"/>
    <w:rsid w:val="00D2353A"/>
    <w:rsid w:val="00D271EF"/>
    <w:rsid w:val="00D40365"/>
    <w:rsid w:val="00D51B0B"/>
    <w:rsid w:val="00D57231"/>
    <w:rsid w:val="00D62FDE"/>
    <w:rsid w:val="00D63B23"/>
    <w:rsid w:val="00D63F06"/>
    <w:rsid w:val="00D67378"/>
    <w:rsid w:val="00D704C0"/>
    <w:rsid w:val="00D80786"/>
    <w:rsid w:val="00D80B59"/>
    <w:rsid w:val="00D82160"/>
    <w:rsid w:val="00D8273A"/>
    <w:rsid w:val="00D82B29"/>
    <w:rsid w:val="00D87733"/>
    <w:rsid w:val="00D87B4B"/>
    <w:rsid w:val="00D96DBE"/>
    <w:rsid w:val="00D971E2"/>
    <w:rsid w:val="00DA5109"/>
    <w:rsid w:val="00DB08ED"/>
    <w:rsid w:val="00DB1161"/>
    <w:rsid w:val="00DB3EF2"/>
    <w:rsid w:val="00DB56AA"/>
    <w:rsid w:val="00DC3FE9"/>
    <w:rsid w:val="00DC508D"/>
    <w:rsid w:val="00DC6EEA"/>
    <w:rsid w:val="00DD0EF2"/>
    <w:rsid w:val="00DD2355"/>
    <w:rsid w:val="00DD503C"/>
    <w:rsid w:val="00DE0EFB"/>
    <w:rsid w:val="00DE4269"/>
    <w:rsid w:val="00DE600C"/>
    <w:rsid w:val="00DF1475"/>
    <w:rsid w:val="00DF17F4"/>
    <w:rsid w:val="00DF263D"/>
    <w:rsid w:val="00DF59D3"/>
    <w:rsid w:val="00E05189"/>
    <w:rsid w:val="00E11605"/>
    <w:rsid w:val="00E124A2"/>
    <w:rsid w:val="00E151E3"/>
    <w:rsid w:val="00E17176"/>
    <w:rsid w:val="00E17F79"/>
    <w:rsid w:val="00E211B1"/>
    <w:rsid w:val="00E23EB4"/>
    <w:rsid w:val="00E302D0"/>
    <w:rsid w:val="00E46291"/>
    <w:rsid w:val="00E46FFC"/>
    <w:rsid w:val="00E47E11"/>
    <w:rsid w:val="00E56875"/>
    <w:rsid w:val="00E716F0"/>
    <w:rsid w:val="00E777FF"/>
    <w:rsid w:val="00E8191F"/>
    <w:rsid w:val="00E81A68"/>
    <w:rsid w:val="00E84706"/>
    <w:rsid w:val="00E910E6"/>
    <w:rsid w:val="00E9247D"/>
    <w:rsid w:val="00E96A14"/>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D3C42"/>
    <w:rsid w:val="00ED568A"/>
    <w:rsid w:val="00ED6D01"/>
    <w:rsid w:val="00EE7B91"/>
    <w:rsid w:val="00EF278B"/>
    <w:rsid w:val="00EF31DB"/>
    <w:rsid w:val="00EF4C46"/>
    <w:rsid w:val="00EF4F20"/>
    <w:rsid w:val="00EF6D0B"/>
    <w:rsid w:val="00F00F2B"/>
    <w:rsid w:val="00F01FE3"/>
    <w:rsid w:val="00F046CB"/>
    <w:rsid w:val="00F04EB2"/>
    <w:rsid w:val="00F0750F"/>
    <w:rsid w:val="00F10B7C"/>
    <w:rsid w:val="00F14701"/>
    <w:rsid w:val="00F14E21"/>
    <w:rsid w:val="00F160B6"/>
    <w:rsid w:val="00F17D25"/>
    <w:rsid w:val="00F239FC"/>
    <w:rsid w:val="00F317F8"/>
    <w:rsid w:val="00F329FA"/>
    <w:rsid w:val="00F34030"/>
    <w:rsid w:val="00F37CF7"/>
    <w:rsid w:val="00F37DF7"/>
    <w:rsid w:val="00F37EED"/>
    <w:rsid w:val="00F5075A"/>
    <w:rsid w:val="00F50A0B"/>
    <w:rsid w:val="00F527A9"/>
    <w:rsid w:val="00F56FF9"/>
    <w:rsid w:val="00F57F1C"/>
    <w:rsid w:val="00F60698"/>
    <w:rsid w:val="00F66E13"/>
    <w:rsid w:val="00F67084"/>
    <w:rsid w:val="00F67814"/>
    <w:rsid w:val="00F7023F"/>
    <w:rsid w:val="00F718AE"/>
    <w:rsid w:val="00F72251"/>
    <w:rsid w:val="00F75388"/>
    <w:rsid w:val="00F76028"/>
    <w:rsid w:val="00F84D79"/>
    <w:rsid w:val="00F85FDD"/>
    <w:rsid w:val="00F872A1"/>
    <w:rsid w:val="00FA1FAA"/>
    <w:rsid w:val="00FB1AA0"/>
    <w:rsid w:val="00FB1D34"/>
    <w:rsid w:val="00FB31A4"/>
    <w:rsid w:val="00FC5DA6"/>
    <w:rsid w:val="00FD622D"/>
    <w:rsid w:val="00FD63DE"/>
    <w:rsid w:val="00FE05A5"/>
    <w:rsid w:val="00FE295B"/>
    <w:rsid w:val="00FE5642"/>
    <w:rsid w:val="00FF0332"/>
    <w:rsid w:val="00FF20A4"/>
    <w:rsid w:val="00FF243F"/>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paragraph" w:styleId="ListParagraph">
    <w:name w:val="List Paragraph"/>
    <w:basedOn w:val="Normal"/>
    <w:uiPriority w:val="34"/>
    <w:qFormat/>
    <w:rsid w:val="00C01412"/>
    <w:pPr>
      <w:ind w:left="720"/>
      <w:contextualSpacing/>
    </w:pPr>
  </w:style>
</w:styles>
</file>

<file path=word/webSettings.xml><?xml version="1.0" encoding="utf-8"?>
<w:webSettings xmlns:r="http://schemas.openxmlformats.org/officeDocument/2006/relationships" xmlns:w="http://schemas.openxmlformats.org/wordprocessingml/2006/main">
  <w:divs>
    <w:div w:id="573390531">
      <w:bodyDiv w:val="1"/>
      <w:marLeft w:val="0"/>
      <w:marRight w:val="0"/>
      <w:marTop w:val="0"/>
      <w:marBottom w:val="0"/>
      <w:divBdr>
        <w:top w:val="none" w:sz="0" w:space="0" w:color="auto"/>
        <w:left w:val="none" w:sz="0" w:space="0" w:color="auto"/>
        <w:bottom w:val="none" w:sz="0" w:space="0" w:color="auto"/>
        <w:right w:val="none" w:sz="0" w:space="0" w:color="auto"/>
      </w:divBdr>
      <w:divsChild>
        <w:div w:id="577324928">
          <w:marLeft w:val="418"/>
          <w:marRight w:val="0"/>
          <w:marTop w:val="0"/>
          <w:marBottom w:val="200"/>
          <w:divBdr>
            <w:top w:val="none" w:sz="0" w:space="0" w:color="auto"/>
            <w:left w:val="none" w:sz="0" w:space="0" w:color="auto"/>
            <w:bottom w:val="none" w:sz="0" w:space="0" w:color="auto"/>
            <w:right w:val="none" w:sz="0" w:space="0" w:color="auto"/>
          </w:divBdr>
        </w:div>
        <w:div w:id="1949845391">
          <w:marLeft w:val="418"/>
          <w:marRight w:val="0"/>
          <w:marTop w:val="0"/>
          <w:marBottom w:val="200"/>
          <w:divBdr>
            <w:top w:val="none" w:sz="0" w:space="0" w:color="auto"/>
            <w:left w:val="none" w:sz="0" w:space="0" w:color="auto"/>
            <w:bottom w:val="none" w:sz="0" w:space="0" w:color="auto"/>
            <w:right w:val="none" w:sz="0" w:space="0" w:color="auto"/>
          </w:divBdr>
        </w:div>
        <w:div w:id="722601128">
          <w:marLeft w:val="418"/>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2021-05-09T18:58:00Z</dcterms:created>
  <dcterms:modified xsi:type="dcterms:W3CDTF">2021-05-09T18:58:00Z</dcterms:modified>
</cp:coreProperties>
</file>